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2327578a343d3" /></Relationships>
</file>

<file path=word/document.xml><?xml version="1.0" encoding="utf-8"?>
<w:document xmlns:w="http://schemas.openxmlformats.org/wordprocessingml/2006/main">
  <w:body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1984"/>
        <w:gridCol w:w="11735"/>
        <w:gridCol w:w="1984"/>
      </w:tblGrid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8"/>
                <w:b/>
              </w:rPr>
              <w:t xml:space="preserve">ФЕДЕРАЛЬНОЕ СТАТИСТИЧЕСКОЕ НАБЛЮДЕНИЕ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4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4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8"/>
              </w:rPr>
              <w:t xml:space="preserve">КОНФИДЕНЦИАЛЬНОСТЬ ГАРАНТИРУЕТСЯ ПОЛУЧАТЕЛЕМ ИНФОРМАЦИИ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8" w:space="0"/>
              <w:left w:val="nil"/>
              <w:right w:val="nil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8"/>
              </w:rPr>
              <w:t xml:space="preserve">ВОЗМОЖНО ПРЕДОСТАВЛЕНИЕ В ЭЛЕКТРОННОМ ВИДЕ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nil"/>
            </w:tcBorders>
            <w:vAlign w:val="center"/>
            <w:shd w:val="clear" w:color="auto" w:fill="F2F2F2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СВЕДЕНИЯ ОБ ОХРАНЕ АТМОСФЕРНОГО ВОЗДУХА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nil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vertAlign w:val="baseline"/>
                <w:sz w:val="18"/>
              </w:rPr>
              <w:t xml:space="preserve">за </w:t>
            </w:r>
            <w:r>
              <w:rPr>
                <w:vertAlign w:val="baseline"/>
                <w:b/>
                <w:sz w:val="18"/>
              </w:rPr>
              <w:t xml:space="preserve">2018</w:t>
            </w:r>
            <w:r>
              <w:rPr>
                <w:vertAlign w:val="baseline"/>
                <w:sz w:val="18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p-report-2tp"/>
        <w:spacing w:after="0" w:line="240"/>
        <w:rPr>
          <w:sz w:val="16"/>
        </w:rPr>
      </w:pP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7767"/>
        <w:gridCol w:w="3175"/>
        <w:gridCol w:w="907"/>
        <w:gridCol w:w="3855"/>
      </w:tblGrid>
      <w:tr>
        <w:trPr>
          <w:cantSplit/>
          <w:trHeight w:val="227"/>
        </w:trPr>
        <w:tc>
          <w:tcPr>
            <w:tcW w:w="7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Представляют: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Сроки представления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EAEAE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  <w:b/>
              </w:rPr>
              <w:t xml:space="preserve">Форма № 2-ТП (воздух)</w:t>
            </w:r>
          </w:p>
        </w:tc>
      </w:tr>
      <w:tr>
        <w:trPr>
          <w:cantSplit/>
          <w:trHeight w:val="113"/>
        </w:trPr>
        <w:tc>
          <w:tcPr>
            <w:tcW w:w="7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загрязнения атмосферного воздуха:</w:t>
            </w:r>
          </w:p>
          <w:p>
            <w:pPr>
              <w:pStyle w:val="8-2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- территориальному органу Росприроднадзора в субъекте Российской Федерации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22 января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после отчетного периода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3855" w:type="dxa"/>
            <w:tcBorders>
              <w:top w:val="single" w:color="auto" w:sz="8" w:space="0"/>
              <w:left w:val="nil"/>
              <w:right w:val="nil"/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Приказ Росстата: Об утверждении формы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 08.11.2018 № 661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 внесении изменений (при наличии)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от________ №____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от________ №____</w:t>
            </w:r>
          </w:p>
        </w:tc>
      </w:tr>
      <w:tr>
        <w:trPr>
          <w:cantSplit/>
          <w:trHeight w:val="227"/>
        </w:trPr>
        <w:tc>
          <w:tcPr>
            <w:tcW w:w="776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EAEAE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Годовая</w:t>
            </w:r>
          </w:p>
        </w:tc>
      </w:tr>
    </w:tbl>
    <w:p>
      <w:pPr>
        <w:pStyle w:val="p-report-2tp"/>
        <w:spacing w:after="0" w:line="240"/>
        <w:rPr>
          <w:sz w:val="16"/>
        </w:rPr>
      </w:pPr>
    </w:p>
    <w:p>
      <w:pPr>
        <w:pStyle w:val="p-report-2tp"/>
        <w:spacing w:after="0" w:line="240"/>
        <w:rPr>
          <w:sz w:val="16"/>
        </w:rPr>
      </w:pPr>
    </w:p>
    <w:tbl>
      <w:tblPr xmlns:w="http://schemas.openxmlformats.org/wordprocessingml/2006/main">
        <w:tblW w:w="15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1474"/>
        <w:gridCol w:w="2212"/>
        <w:gridCol w:w="11738"/>
        <w:gridCol w:w="284"/>
      </w:tblGrid>
      <w:tr>
        <w:trPr>
          <w:cantSplit/>
          <w:trHeight w:val="227"/>
        </w:trPr>
        <w:tc>
          <w:tcPr>
            <w:tcW w:w="3686" w:type="dxa"/>
            <w:gridSpan w:val="2"/>
            <w:tcBorders>
              <w:righ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ind w:left="113"/>
              <w:rPr>
                <w:sz w:val="16"/>
              </w:rPr>
            </w:pPr>
            <w:r>
              <w:rPr>
                <w:sz w:val="16"/>
                <w:b/>
              </w:rPr>
              <w:t xml:space="preserve">Наименование отчитывающейся организации</w:t>
            </w:r>
          </w:p>
        </w:tc>
        <w:tc>
          <w:tcPr>
            <w:tcW w:w="11738" w:type="dxa"/>
            <w:tcBorders>
              <w:left w:val="nil"/>
              <w:right w:val="nil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rPr>
                <w:sz w:val="20"/>
              </w:rPr>
            </w:pPr>
            <w:r>
              <w:rPr>
                <w:sz w:val="20"/>
                <w:b/>
              </w:rPr>
              <w:t xml:space="preserve">ООО "КУбанские консервы"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</w:tr>
      <w:tr>
        <w:trPr>
          <w:cantSplit/>
          <w:trHeight w:val="57"/>
        </w:trPr>
        <w:tc>
          <w:tcPr>
            <w:tcW w:w="3686" w:type="dxa"/>
            <w:gridSpan w:val="2"/>
            <w:tcBorders>
              <w:top w:val="nil"/>
              <w:right w:val="nil"/>
            </w:tcBorders>
            <w:vAlign w:val="bottom"/>
          </w:tcPr>
          <w:p>
            <w:pPr>
              <w:pStyle w:val="8-2"/>
              <w:spacing w:after="0" w:line="240"/>
              <w:ind w:left="113"/>
              <w:rPr>
                <w:sz w:val="2"/>
              </w:rPr>
            </w:pPr>
          </w:p>
        </w:tc>
        <w:tc>
          <w:tcPr>
            <w:tcW w:w="11738" w:type="dxa"/>
            <w:tcBorders>
              <w:top w:val="single" w:color="auto" w:sz="2" w:space="0"/>
              <w:left w:val="nil"/>
              <w:right w:val="nil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</w:tr>
      <w:tr>
        <w:trPr>
          <w:cantSplit/>
          <w:trHeight w:val="227"/>
        </w:trPr>
        <w:tc>
          <w:tcPr>
            <w:tcW w:w="1474" w:type="dxa"/>
            <w:tcBorders>
              <w:righ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ind w:left="113"/>
              <w:rPr>
                <w:sz w:val="16"/>
              </w:rPr>
            </w:pPr>
            <w:r>
              <w:rPr>
                <w:sz w:val="16"/>
                <w:b/>
              </w:rPr>
              <w:t xml:space="preserve">Почтовый адрес</w:t>
            </w:r>
          </w:p>
        </w:tc>
        <w:tc>
          <w:tcPr>
            <w:tcW w:w="13950" w:type="dxa"/>
            <w:gridSpan w:val="2"/>
            <w:tcBorders>
              <w:left w:val="nil"/>
              <w:right w:val="nil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rPr>
                <w:sz w:val="20"/>
              </w:rPr>
            </w:pPr>
            <w:r>
              <w:rPr>
                <w:sz w:val="20"/>
                <w:b/>
              </w:rPr>
              <w:t xml:space="preserve">Краснодарский край, г. Тимашевск, ул. Промышленная, 6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</w:tr>
      <w:tr>
        <w:trPr>
          <w:cantSplit/>
          <w:trHeight w:val="57"/>
        </w:trPr>
        <w:tc>
          <w:tcPr>
            <w:tcW w:w="1474" w:type="dxa"/>
            <w:tcBorders>
              <w:top w:val="nil"/>
              <w:right w:val="nil"/>
            </w:tcBorders>
            <w:vAlign w:val="bottom"/>
          </w:tcPr>
          <w:p>
            <w:pPr>
              <w:pStyle w:val="8-2"/>
              <w:spacing w:after="0" w:line="240"/>
              <w:ind w:left="113"/>
              <w:rPr>
                <w:sz w:val="2"/>
              </w:rPr>
            </w:pPr>
          </w:p>
        </w:tc>
        <w:tc>
          <w:tcPr>
            <w:tcW w:w="13950" w:type="dxa"/>
            <w:gridSpan w:val="2"/>
            <w:tcBorders>
              <w:top w:val="single" w:color="auto" w:sz="2" w:space="0"/>
              <w:left w:val="nil"/>
              <w:right w:val="nil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</w:tr>
    </w:tbl>
    <w:p>
      <w:pPr>
        <w:pStyle w:val="p-report-2tp"/>
      </w:pPr>
    </w:p>
    <w:p>
      <w:pPr>
        <w:pStyle w:val="p-report-2tp"/>
      </w:pPr>
    </w:p>
    <w:tbl>
      <w:tblPr xmlns:w="http://schemas.openxmlformats.org/wordprocessingml/2006/main">
        <w:tblW w:w="15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1474"/>
        <w:gridCol w:w="2891"/>
        <w:gridCol w:w="2835"/>
        <w:gridCol w:w="2835"/>
        <w:gridCol w:w="2835"/>
        <w:gridCol w:w="2838"/>
      </w:tblGrid>
      <w:tr>
        <w:trPr>
          <w:cantSplit/>
          <w:trHeight w:val="227"/>
        </w:trPr>
        <w:tc>
          <w:tcPr>
            <w:tcW w:w="1474" w:type="dxa"/>
            <w:vMerge w:val="restart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формы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по ОКУД</w:t>
            </w:r>
          </w:p>
        </w:tc>
        <w:tc>
          <w:tcPr>
            <w:tcW w:w="14234" w:type="dxa"/>
            <w:gridSpan w:val="5"/>
            <w:vAlign w:val="center"/>
            <w:shd w:val="clear" w:color="auto" w:fill="EAEAE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  <w:b/>
              </w:rPr>
              <w:t xml:space="preserve">Код</w:t>
            </w:r>
          </w:p>
        </w:tc>
      </w:tr>
      <w:tr>
        <w:trPr>
          <w:cantSplit/>
          <w:trHeight w:val="283"/>
        </w:trPr>
        <w:tc>
          <w:tcPr>
            <w:tcW w:w="1474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2891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отчитывающейся организации по ОКПО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ОГРН(ИП)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ИНН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7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91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2838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</w:tr>
      <w:tr>
        <w:trPr>
          <w:cantSplit/>
          <w:trHeight w:val="227"/>
        </w:trPr>
        <w:tc>
          <w:tcPr>
            <w:tcW w:w="147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0609012</w:t>
            </w:r>
          </w:p>
        </w:tc>
        <w:tc>
          <w:tcPr>
            <w:tcW w:w="2891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74240352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1042320797837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2337028462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8-2"/>
        <w:jc w:val="center"/>
        <w:spacing w:after="0" w:line="240"/>
        <w:rPr>
          <w:sz w:val="16"/>
        </w:rPr>
      </w:pPr>
    </w:p>
    <w:p>
      <w:pPr>
        <w:pStyle w:val="p-report-2tp"/>
      </w:pPr>
    </w:p>
    <w:p>
      <w:r>
        <w:br w:type="page"/>
      </w:r>
    </w:p>
    <w:p>
      <w:pPr>
        <w:pStyle w:val="p-report-2tp"/>
        <w:jc w:val="center"/>
        <w:spacing w:after="0" w:line="240"/>
      </w:pPr>
      <w:r>
        <w:rPr>
          <w:b/>
        </w:rPr>
        <w:t xml:space="preserve">Раздел 1. Выбросы загрязняющих веществ в атмосферу, их очистка и утилизация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М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Л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7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ОКТМО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6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5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ОКВЭД2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.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.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тонна - 168</w:t>
      </w:r>
    </w:p>
    <w:tbl>
      <w:tblPr xmlns:w="http://schemas.openxmlformats.org/wordprocessingml/2006/main"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907"/>
        <w:gridCol w:w="4706"/>
        <w:gridCol w:w="1587"/>
        <w:gridCol w:w="1588"/>
        <w:gridCol w:w="1587"/>
        <w:gridCol w:w="1587"/>
        <w:gridCol w:w="1588"/>
        <w:gridCol w:w="1587"/>
      </w:tblGrid>
      <w:tr>
        <w:trPr>
          <w:cantSplit/>
          <w:tblHeader/>
          <w:trHeight w:val="227"/>
        </w:trPr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90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заг</w:t>
            </w:r>
            <w:r>
              <w:softHyphen/>
              <w:rPr>
                <w:sz w:val="16"/>
              </w:rPr>
              <w:t xml:space="preserve">рязняюще</w:t>
            </w:r>
            <w:r>
              <w:softHyphen/>
              <w:rPr>
                <w:sz w:val="16"/>
              </w:rPr>
              <w:t xml:space="preserve">го вещества</w:t>
            </w:r>
          </w:p>
        </w:tc>
        <w:tc>
          <w:tcPr>
            <w:tcW w:w="470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Загрязняющие вещества</w:t>
            </w:r>
          </w:p>
        </w:tc>
        <w:tc>
          <w:tcPr>
            <w:tcW w:w="31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Выбрасывается без очистки, тонн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Поступило на очистные сооружения загрязняю</w:t>
            </w:r>
            <w:r>
              <w:softHyphen/>
              <w:rPr>
                <w:sz w:val="16"/>
              </w:rPr>
              <w:t xml:space="preserve">щих веществ – всего, тонн</w:t>
            </w:r>
          </w:p>
        </w:tc>
        <w:tc>
          <w:tcPr>
            <w:tcW w:w="3175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Из поступивших на очистку –</w:t>
            </w:r>
          </w:p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уловлено и обезврежено, тонн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 выброшено в атмосферу загрязня</w:t>
            </w:r>
            <w:r>
              <w:softHyphen/>
              <w:rPr>
                <w:sz w:val="16"/>
              </w:rPr>
              <w:t xml:space="preserve">ющих веществ за отчетный год, тонн</w:t>
            </w:r>
          </w:p>
        </w:tc>
      </w:tr>
      <w:tr>
        <w:trPr>
          <w:cantSplit/>
          <w:tblHeader/>
          <w:trHeight w:val="184"/>
        </w:trPr>
        <w:tc>
          <w:tcPr>
            <w:tcW w:w="56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4706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 том числе от орга</w:t>
            </w:r>
            <w:r>
              <w:softHyphen/>
              <w:rPr>
                <w:sz w:val="16"/>
              </w:rPr>
              <w:t xml:space="preserve">низо</w:t>
            </w:r>
            <w:r>
              <w:softHyphen/>
              <w:rPr>
                <w:sz w:val="16"/>
              </w:rPr>
              <w:t xml:space="preserve">ванных источ</w:t>
            </w:r>
            <w:r>
              <w:softHyphen/>
              <w:rPr>
                <w:sz w:val="16"/>
              </w:rPr>
              <w:t xml:space="preserve">ников загрязнения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4706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1588" w:type="dxa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из них утилизи</w:t>
            </w:r>
            <w:r>
              <w:softHyphen/>
              <w:rPr>
                <w:sz w:val="16"/>
              </w:rPr>
              <w:t xml:space="preserve">ровано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90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4706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588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588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101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0001</w:t>
            </w:r>
          </w:p>
        </w:tc>
        <w:tc>
          <w:tcPr>
            <w:tcW w:w="4706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Всего (102 + 103)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11,491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8,640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11,491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0002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 том числе: твердые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0,054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0,042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0,054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0004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газообразные и жидкие (104 ÷ 109)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11,437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8,598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11,437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0330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из них: диоксид серы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0,052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0,011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0,052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0337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 углерода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7,199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5,064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7,199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0301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оксиды азота (в пересчете на NO₂)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2,435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2,201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2,435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0401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углеводороды (без летучих органических соединений)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0,893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0,893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0,893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0006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летучие органические соединения (ЛОС)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0,815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0,392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0,815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0005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прочие газообразные и жидкие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0,043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0,037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0,043</w:t>
            </w:r>
          </w:p>
        </w:tc>
      </w:tr>
    </w:tbl>
    <w:p>
      <w:pPr>
        <w:pStyle w:val="p-report-2tp"/>
        <w:jc w:val="center"/>
        <w:spacing w:after="0" w:line="240"/>
        <w:tabs>
          <w:tab w:val="right" w:pos="15649"/>
        </w:tabs>
      </w:pPr>
    </w:p>
    <w:p>
      <w:pPr>
        <w:pStyle w:val="p-report-2tp"/>
        <w:jc w:val="center"/>
        <w:spacing w:after="0" w:line="240"/>
        <w:tabs>
          <w:tab w:val="right" w:pos="15649"/>
        </w:tabs>
      </w:pPr>
      <w:r>
        <w:rPr>
          <w:vertAlign w:val="baseline"/>
        </w:rPr>
        <w:t/>
      </w:r>
      <w:r>
        <w:rPr>
          <w:vertAlign w:val="baseline"/>
          <w:b/>
        </w:rPr>
        <w:t xml:space="preserve">Раздел 2. Выброс в атмосферу специфических загрязняющих веществ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М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Л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тонна - 168</w:t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624"/>
        <w:gridCol w:w="1077"/>
        <w:gridCol w:w="10828"/>
        <w:gridCol w:w="3175"/>
      </w:tblGrid>
      <w:tr>
        <w:trPr>
          <w:cantSplit/>
          <w:tblHeader/>
          <w:trHeight w:val="207"/>
        </w:trPr>
        <w:tc>
          <w:tcPr>
            <w:tcW w:w="62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заг</w:t>
            </w:r>
            <w:r>
              <w:softHyphen/>
              <w:rPr>
                <w:sz w:val="16"/>
              </w:rPr>
              <w:t xml:space="preserve">рязняюще</w:t>
            </w:r>
            <w:r>
              <w:softHyphen/>
              <w:rPr>
                <w:sz w:val="16"/>
              </w:rPr>
              <w:t xml:space="preserve">го вещества</w:t>
            </w:r>
          </w:p>
        </w:tc>
        <w:tc>
          <w:tcPr>
            <w:tcW w:w="1082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Загрязняющие вещества</w:t>
            </w:r>
          </w:p>
        </w:tc>
        <w:tc>
          <w:tcPr>
            <w:tcW w:w="317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Выброс в атмосферу специфических загрязняющих веществ за отчетный год, тонн</w:t>
            </w:r>
          </w:p>
        </w:tc>
      </w:tr>
      <w:tr>
        <w:trPr>
          <w:cantSplit/>
          <w:tblHeader/>
          <w:trHeight w:val="207"/>
        </w:trPr>
        <w:tc>
          <w:tcPr>
            <w:tcW w:w="624" w:type="dxa"/>
            <w:vMerge w:val="continue"/>
          </w:tcPr>
          <w:p>
            <w:pPr>
              <w:pStyle w:val="p-report-2tp"/>
            </w:pPr>
          </w:p>
        </w:tc>
        <w:tc>
          <w:tcPr>
            <w:tcW w:w="1077" w:type="dxa"/>
            <w:vMerge w:val="continue"/>
          </w:tcPr>
          <w:p>
            <w:pPr>
              <w:pStyle w:val="p-report-2tp"/>
            </w:pPr>
          </w:p>
        </w:tc>
        <w:tc>
          <w:tcPr>
            <w:tcW w:w="10828" w:type="dxa"/>
            <w:vMerge w:val="continue"/>
          </w:tcPr>
          <w:p>
            <w:pPr>
              <w:pStyle w:val="p-report-2tp"/>
            </w:pPr>
          </w:p>
        </w:tc>
        <w:tc>
          <w:tcPr>
            <w:tcW w:w="3175" w:type="dxa"/>
            <w:vMerge w:val="continue"/>
          </w:tcPr>
          <w:p>
            <w:pPr>
              <w:pStyle w:val="p-report-2tp"/>
            </w:pPr>
          </w:p>
        </w:tc>
      </w:tr>
      <w:tr>
        <w:trPr>
          <w:cantSplit/>
          <w:tblHeader/>
          <w:trHeight w:val="227"/>
        </w:trPr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0828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3175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1588"/>
              </w:tabs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201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0703</w:t>
            </w:r>
          </w:p>
        </w:tc>
        <w:tc>
          <w:tcPr>
            <w:tcW w:w="1082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Бенз(а)пирен</w:t>
            </w:r>
          </w:p>
        </w:tc>
        <w:tc>
          <w:tcPr>
            <w:tcW w:w="31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0322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Серная кислота (по молекуле H₂SO₄)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0410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Метан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0,893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0143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Марганец и его неорганические соединения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0303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Аммиак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0,030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0328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Углерод (Сажа)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0,013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0333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Дигидросульфид (Сероводород)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0,002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0342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Фтора газообразные соединения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0349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Хлор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0,011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0406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Полиэтен (Полиэтилен)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0602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Бензол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0616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Диметилбензол (Ксилол) (смесь изомеров о-, м-, п-)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0621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Метилбензол (Толуол)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0627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Этилбензол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1325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Формальдегид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0,004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1555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Этановая кислота (Уксусная кислота)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1715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Метантиол (Метилмеркаптан)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1819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Диметиламин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0,029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2704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Бензин (нефтяной, малосернистый)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0,121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220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2735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Масло минеральное нефтяное (веретенное, машинное, цилиндровое и др.)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0,006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221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2908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Пыль неорганическая, содержащая диоксид кремния в процентах: 70-20 процентов (цемент, оливин, апатит, глина, шамот каолиновый)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2911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Пыль комбикормовая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0,003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223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8888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другие вещества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0,693</w:t>
            </w:r>
          </w:p>
        </w:tc>
      </w:tr>
    </w:tbl>
    <w:p>
      <w:pPr>
        <w:pStyle w:val="p-report-2tp"/>
        <w:jc w:val="center"/>
        <w:spacing w:before="120" w:after="0" w:line="240"/>
      </w:pPr>
    </w:p>
    <w:p>
      <w:pPr>
        <w:pStyle w:val="p-report-2tp"/>
      </w:pPr>
    </w:p>
    <w:p>
      <w:r>
        <w:br w:type="page"/>
      </w:r>
    </w:p>
    <w:p>
      <w:pPr>
        <w:pStyle w:val="p-report-2tp"/>
        <w:jc w:val="center"/>
        <w:spacing w:before="120" w:after="0" w:line="240"/>
      </w:pPr>
      <w:r>
        <w:rPr>
          <w:b/>
        </w:rPr>
        <w:t xml:space="preserve">Раздел 3. Источники загрязнения атмосферы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М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Л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единица - 642;  тонна - 168</w:t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4706"/>
        <w:gridCol w:w="2608"/>
        <w:gridCol w:w="2608"/>
        <w:gridCol w:w="2608"/>
        <w:gridCol w:w="2608"/>
      </w:tblGrid>
      <w:tr>
        <w:trPr>
          <w:cantSplit/>
          <w:tblHeader/>
        </w:trPr>
        <w:tc>
          <w:tcPr>
            <w:tcW w:w="567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4706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Количество источников загрязнения атмосферы на конец года, единиц</w:t>
            </w:r>
          </w:p>
        </w:tc>
        <w:tc>
          <w:tcPr>
            <w:tcW w:w="2608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Разрешенный выброс в атмосферу загрязняющих веществ, тонн</w:t>
            </w:r>
          </w:p>
        </w:tc>
        <w:tc>
          <w:tcPr>
            <w:tcW w:w="2608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Фактически выброшено в атмосферу загрязняю</w:t>
            </w:r>
            <w:r>
              <w:softHyphen/>
              <w:rPr>
                <w:sz w:val="16"/>
              </w:rPr>
              <w:t xml:space="preserve">щих веществ, тонн</w:t>
            </w: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470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26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из них организованных</w:t>
            </w:r>
          </w:p>
        </w:tc>
        <w:tc>
          <w:tcPr>
            <w:tcW w:w="260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260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</w:tr>
      <w:tr>
        <w:trPr>
          <w:cantSplit/>
          <w:tblHeader/>
        </w:trPr>
        <w:tc>
          <w:tcPr>
            <w:tcW w:w="567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4706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301</w:t>
            </w:r>
          </w:p>
        </w:tc>
        <w:tc>
          <w:tcPr>
            <w:tcW w:w="4706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30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17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11,324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11,491</w:t>
            </w: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302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 том числе с установленными нормативами:</w:t>
            </w:r>
          </w:p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предельно допустимого выброса (ПДВ)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30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17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11,324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11,491</w:t>
            </w: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303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временно согласованного выброса (ВСВ)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</w:tbl>
    <w:p>
      <w:pPr>
        <w:pStyle w:val="p-report-2tp"/>
        <w:jc w:val="center"/>
        <w:spacing w:before="120" w:after="0" w:line="240"/>
      </w:pPr>
    </w:p>
    <w:p>
      <w:pPr>
        <w:pStyle w:val="p-report-2tp"/>
      </w:pPr>
    </w:p>
    <w:p>
      <w:pPr>
        <w:pStyle w:val="p-report-2tp"/>
        <w:jc w:val="center"/>
        <w:spacing w:before="120" w:after="0" w:line="240"/>
      </w:pPr>
      <w:r>
        <w:rPr>
          <w:b/>
        </w:rPr>
        <w:t xml:space="preserve">Раздел 4. Выполнение мероприятий по уменьшению выбросов загрязняющих веществ в атмосферу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М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Л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единица - 642;  тысяча рублей - 384; тонна - 168</w:t>
      </w:r>
    </w:p>
    <w:tbl>
      <w:tblPr xmlns:w="http://schemas.openxmlformats.org/wordprocessingml/2006/main"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3288"/>
        <w:gridCol w:w="2500"/>
        <w:gridCol w:w="964"/>
        <w:gridCol w:w="2494"/>
        <w:gridCol w:w="1531"/>
        <w:gridCol w:w="1531"/>
        <w:gridCol w:w="1644"/>
        <w:gridCol w:w="1191"/>
      </w:tblGrid>
      <w:tr>
        <w:trPr>
          <w:cantSplit/>
          <w:tblHeader/>
        </w:trPr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3288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Наименование промышленного производства и технологического оборудования</w:t>
            </w:r>
          </w:p>
        </w:tc>
        <w:tc>
          <w:tcPr>
            <w:tcW w:w="5958" w:type="dxa"/>
            <w:gridSpan w:val="3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Мероприятия, выполнение которых предусмотрено в отчетном году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4"/>
              </w:rPr>
              <w:t xml:space="preserve">Использовано (освоено) средств на проведение мероприятий (за счет всех источников финанси</w:t>
            </w:r>
            <w:r>
              <w:softHyphen/>
              <w:rPr>
                <w:sz w:val="14"/>
              </w:rPr>
              <w:t xml:space="preserve">ро</w:t>
            </w:r>
            <w:r>
              <w:softHyphen/>
              <w:rPr>
                <w:sz w:val="14"/>
              </w:rPr>
              <w:t xml:space="preserve">вания) - тыс.руб. с одним десятичным знаком в фактических ценах соответствующих лет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Уменьшение выбросов в атмосферу загрязняющих веществ после проведения мероприятий, тонн</w:t>
            </w:r>
          </w:p>
        </w:tc>
      </w:tr>
      <w:tr>
        <w:trPr>
          <w:cantSplit/>
          <w:tblHeader/>
          <w:trHeight w:val="184"/>
        </w:trPr>
        <w:tc>
          <w:tcPr>
            <w:tcW w:w="567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3288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500" w:type="dxa"/>
            <w:vMerge w:val="restart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наименование мероприятия</w:t>
            </w:r>
          </w:p>
        </w:tc>
        <w:tc>
          <w:tcPr>
            <w:tcW w:w="964" w:type="dxa"/>
            <w:vMerge w:val="restart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группа меро</w:t>
            </w:r>
            <w:r>
              <w:softHyphen/>
              <w:rPr>
                <w:sz w:val="16"/>
              </w:rPr>
              <w:t xml:space="preserve">приятий</w:t>
            </w:r>
          </w:p>
        </w:tc>
        <w:tc>
          <w:tcPr>
            <w:tcW w:w="2494" w:type="dxa"/>
            <w:vMerge w:val="restart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4"/>
              </w:rPr>
            </w:pPr>
            <w:r>
              <w:rPr>
                <w:sz w:val="14"/>
              </w:rPr>
              <w:t xml:space="preserve">оценка вы</w:t>
            </w:r>
            <w:r>
              <w:softHyphen/>
              <w:rPr>
                <w:sz w:val="14"/>
              </w:rPr>
              <w:t xml:space="preserve">полнения меропри</w:t>
            </w:r>
            <w:r>
              <w:softHyphen/>
              <w:rPr>
                <w:sz w:val="14"/>
              </w:rPr>
              <w:t xml:space="preserve">ятий, осу</w:t>
            </w:r>
            <w:r>
              <w:softHyphen/>
              <w:rPr>
                <w:sz w:val="14"/>
              </w:rPr>
              <w:t xml:space="preserve">ществление которых на</w:t>
            </w:r>
            <w:r>
              <w:softHyphen/>
              <w:rPr>
                <w:sz w:val="14"/>
              </w:rPr>
              <w:t xml:space="preserve">чато в от</w:t>
            </w:r>
            <w:r>
              <w:softHyphen/>
              <w:rPr>
                <w:sz w:val="14"/>
              </w:rPr>
              <w:t xml:space="preserve">четном году и выполнен</w:t>
            </w:r>
            <w:r>
              <w:softHyphen/>
              <w:rPr>
                <w:sz w:val="14"/>
              </w:rPr>
              <w:t xml:space="preserve">ных ставит</w:t>
            </w:r>
            <w:r>
              <w:softHyphen/>
              <w:rPr>
                <w:sz w:val="14"/>
              </w:rPr>
              <w:t xml:space="preserve">ся «1», по остальным мероприя</w:t>
            </w:r>
            <w:r>
              <w:softHyphen/>
              <w:rPr>
                <w:sz w:val="14"/>
              </w:rPr>
              <w:t xml:space="preserve">тиям ста</w:t>
            </w:r>
            <w:r>
              <w:softHyphen/>
              <w:rPr>
                <w:sz w:val="14"/>
              </w:rPr>
              <w:t xml:space="preserve">вится «0»</w:t>
            </w:r>
          </w:p>
        </w:tc>
        <w:tc>
          <w:tcPr>
            <w:tcW w:w="3062" w:type="dxa"/>
            <w:gridSpan w:val="2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835" w:type="dxa"/>
            <w:gridSpan w:val="2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3288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500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964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494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1531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 отчетный год</w:t>
            </w:r>
          </w:p>
        </w:tc>
        <w:tc>
          <w:tcPr>
            <w:tcW w:w="1531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 прошлый год</w:t>
            </w:r>
          </w:p>
        </w:tc>
        <w:tc>
          <w:tcPr>
            <w:tcW w:w="1644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ожидаемое (расчетное)</w:t>
            </w:r>
          </w:p>
        </w:tc>
        <w:tc>
          <w:tcPr>
            <w:tcW w:w="1191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фактически</w:t>
            </w:r>
          </w:p>
        </w:tc>
      </w:tr>
      <w:tr>
        <w:trPr>
          <w:cantSplit/>
          <w:tblHeader/>
        </w:trPr>
        <w:tc>
          <w:tcPr>
            <w:tcW w:w="567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3288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2500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B</w:t>
            </w:r>
          </w:p>
        </w:tc>
        <w:tc>
          <w:tcPr>
            <w:tcW w:w="96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49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531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164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191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</w:tr>
    </w:tbl>
    <w:p>
      <w:pPr>
        <w:pStyle w:val="p-report-2tp"/>
        <w:jc w:val="center"/>
        <w:spacing w:before="120" w:after="0" w:line="240"/>
      </w:pPr>
    </w:p>
    <w:p>
      <w:pPr>
        <w:pStyle w:val="p-report-2tp"/>
        <w:jc w:val="center"/>
        <w:spacing w:before="120" w:after="0" w:line="240"/>
      </w:pPr>
      <w:r>
        <w:rPr>
          <w:b/>
        </w:rPr>
        <w:t xml:space="preserve">Раздел 5. Выбросы загрязняющих веществ в атмосферный воздух от отдельных групп источников загрязнения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М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Л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тонна - 168</w:t>
      </w: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1474"/>
        <w:gridCol w:w="4592"/>
        <w:gridCol w:w="4535"/>
        <w:gridCol w:w="4535"/>
      </w:tblGrid>
      <w:tr>
        <w:trPr>
          <w:cantSplit/>
          <w:tblHeader/>
        </w:trPr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147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загрязняюще</w:t>
            </w:r>
            <w:r>
              <w:softHyphen/>
              <w:rPr>
                <w:sz w:val="16"/>
              </w:rPr>
              <w:t xml:space="preserve">го вещества</w:t>
            </w:r>
          </w:p>
        </w:tc>
        <w:tc>
          <w:tcPr>
            <w:tcW w:w="4592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Загрязняющие вещества</w:t>
            </w:r>
          </w:p>
        </w:tc>
        <w:tc>
          <w:tcPr>
            <w:tcW w:w="9070" w:type="dxa"/>
            <w:gridSpan w:val="2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Выброс в атмосферу загрязняющих веществ</w:t>
            </w: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1474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4592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4535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 сжигания топлива (для выработки электро- и теплоэнергии)</w:t>
            </w:r>
          </w:p>
        </w:tc>
        <w:tc>
          <w:tcPr>
            <w:tcW w:w="4535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 технологических и других процессов</w:t>
            </w:r>
          </w:p>
        </w:tc>
      </w:tr>
      <w:tr>
        <w:trPr>
          <w:cantSplit/>
          <w:tblHeader/>
        </w:trPr>
        <w:tc>
          <w:tcPr>
            <w:tcW w:w="567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147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4592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4535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keepNext/>
              <w:spacing w:after="0" w:line="240"/>
              <w:tabs>
                <w:tab w:val="decimal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4535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keepNext/>
              <w:spacing w:after="0" w:line="240"/>
              <w:tabs>
                <w:tab w:val="decimal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501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0002</w:t>
            </w:r>
          </w:p>
        </w:tc>
        <w:tc>
          <w:tcPr>
            <w:tcW w:w="4592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Твердые вещества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0,004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0,050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502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0330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Диоксид серы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0,011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0,041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503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0337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 углерода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5,027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2,172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504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0301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Оксиды азота (в пересчете на NO2)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2,199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0,236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505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0007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Углеводороды с учетом ЛОС (исключая метан)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0,112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0,703</w:t>
            </w:r>
          </w:p>
        </w:tc>
      </w:tr>
    </w:tbl>
    <w:p>
      <w:pPr>
        <w:pStyle w:val="8-2"/>
        <w:spacing w:after="0" w:line="240"/>
        <w:rPr>
          <w:sz w:val="16"/>
        </w:rPr>
      </w:pPr>
    </w:p>
    <w:p>
      <w:pPr>
        <w:pStyle w:val="8-2"/>
        <w:spacing w:after="0" w:line="240"/>
        <w:rPr>
          <w:sz w:val="16"/>
        </w:rPr>
      </w:pPr>
    </w:p>
    <w:p>
      <w:pPr>
        <w:pStyle w:val="8-2"/>
        <w:spacing w:after="0" w:line="240"/>
        <w:rPr>
          <w:sz w:val="16"/>
        </w:rPr>
      </w:pPr>
    </w:p>
    <w:tbl>
      <w:tblPr xmlns:w="http://schemas.openxmlformats.org/wordprocessingml/2006/main">
        <w:tblW w:w="15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4649"/>
        <w:gridCol w:w="3685"/>
        <w:gridCol w:w="436"/>
        <w:gridCol w:w="3827"/>
        <w:gridCol w:w="567"/>
        <w:gridCol w:w="2551"/>
      </w:tblGrid>
      <w:tr>
        <w:trPr>
          <w:cantSplit/>
          <w:tblHeader/>
          <w:trHeight w:val="196"/>
        </w:trPr>
        <w:tc>
          <w:tcPr>
            <w:tcW w:w="4649" w:type="dxa"/>
            <w:vMerge w:val="restart"/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436" w:type="dxa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3827" w:type="dxa"/>
            <w:vAlign w:val="bottom"/>
          </w:tcPr>
          <w:p>
            <w:pPr>
              <w:pStyle w:val="8-2"/>
              <w:jc w:val="center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</w:tr>
      <w:tr>
        <w:trPr>
          <w:cantSplit/>
          <w:tblHeader/>
          <w:trHeight w:val="174"/>
        </w:trPr>
        <w:tc>
          <w:tcPr>
            <w:tcW w:w="4649" w:type="dxa"/>
            <w:vMerge w:val="continue"/>
          </w:tcPr>
          <w:p>
            <w:pPr>
              <w:pStyle w:val="p-report-2tp"/>
            </w:pP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(должность)</w:t>
            </w:r>
          </w:p>
        </w:tc>
        <w:tc>
          <w:tcPr>
            <w:tcW w:w="436" w:type="dxa"/>
          </w:tcPr>
          <w:p>
            <w:pPr>
              <w:pStyle w:val="8-2"/>
              <w:spacing w:after="0"/>
              <w:ind w:lef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(Ф.И.О.)</w:t>
            </w:r>
          </w:p>
        </w:tc>
        <w:tc>
          <w:tcPr>
            <w:tcW w:w="567" w:type="dxa"/>
          </w:tcPr>
          <w:p>
            <w:pPr>
              <w:pStyle w:val="8-2"/>
              <w:spacing w:after="0"/>
              <w:ind w:left="57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(подпись)</w:t>
            </w:r>
          </w:p>
        </w:tc>
      </w:tr>
      <w:tr>
        <w:trPr>
          <w:cantSplit/>
          <w:tblHeader/>
          <w:trHeight w:val="190"/>
        </w:trPr>
        <w:tc>
          <w:tcPr>
            <w:tcW w:w="4649" w:type="dxa"/>
            <w:vMerge w:val="continue"/>
          </w:tcPr>
          <w:p>
            <w:pPr>
              <w:pStyle w:val="p-report-2tp"/>
            </w:pPr>
          </w:p>
        </w:tc>
        <w:tc>
          <w:tcPr>
            <w:tcW w:w="3685" w:type="dxa"/>
          </w:tcPr>
          <w:p>
            <w:pPr>
              <w:pStyle w:val="8-2"/>
              <w:jc w:val="center"/>
              <w:spacing w:after="0" w:line="240"/>
              <w:ind w:left="57"/>
            </w:pPr>
          </w:p>
        </w:tc>
        <w:tc>
          <w:tcPr>
            <w:tcW w:w="436" w:type="dxa"/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</w:p>
        </w:tc>
        <w:tc>
          <w:tcPr>
            <w:tcW w:w="3827" w:type="dxa"/>
            <w:vAlign w:val="bottom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8-2"/>
              <w:spacing w:after="0" w:line="240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ind w:left="57"/>
              <w:rPr>
                <w:sz w:val="20"/>
              </w:rPr>
            </w:pPr>
            <w:r>
              <w:rPr>
                <w:sz w:val="20"/>
              </w:rPr>
              <w:t xml:space="preserve">«18» января 2019 года</w:t>
            </w:r>
          </w:p>
        </w:tc>
      </w:tr>
      <w:tr>
        <w:trPr>
          <w:cantSplit/>
          <w:tblHeader/>
        </w:trPr>
        <w:tc>
          <w:tcPr>
            <w:tcW w:w="4649" w:type="dxa"/>
            <w:vMerge w:val="continue"/>
          </w:tcPr>
          <w:p>
            <w:pPr>
              <w:pStyle w:val="p-report-2tp"/>
            </w:pP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(номер контактного телефона)</w:t>
            </w:r>
          </w:p>
        </w:tc>
        <w:tc>
          <w:tcPr>
            <w:tcW w:w="436" w:type="dxa"/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8-2"/>
              <w:jc w:val="center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(E-mail)</w:t>
            </w:r>
          </w:p>
        </w:tc>
        <w:tc>
          <w:tcPr>
            <w:tcW w:w="567" w:type="dxa"/>
          </w:tcPr>
          <w:p>
            <w:pPr>
              <w:pStyle w:val="8-2"/>
              <w:spacing w:after="0" w:line="24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(дата составления документа)</w:t>
            </w:r>
          </w:p>
        </w:tc>
      </w:tr>
    </w:tbl>
    <w:p>
      <w:pPr>
        <w:pStyle w:val="8-2"/>
      </w:pPr>
    </w:p>
    <w:sectPr xmlns:w="http://schemas.openxmlformats.org/wordprocessingml/2006/main" w:rsidRPr="001E033C" w:rsidR="002A195A" w:rsidSect="00441D8D">
      <w:pgSz w:w="16838" w:h="11906" w:orient="landscape"/>
      <w:pgMar w:top="1134" w:right="567" w:bottom="567" w:left="567" w:header="720" w:footer="720" w:gutter="0"/>
      <w:cols w:space="720"/>
      <w:noEndnote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97667C"/>
    <w:rPr>
      <w:rFonts w:ascii="Tahoma" w:hAnsi="Tahoma" w:cs="Tahoma"/>
      <w:sz w:val="16"/>
      <w:szCs w:val="16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cf66fd96140af" /></Relationships>
</file>