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4A" w:rsidRDefault="00093336">
      <w:pPr>
        <w:pStyle w:val="2"/>
      </w:pPr>
      <w:r>
        <w:tab/>
        <w:t>1.1 ИЗА №0</w:t>
      </w:r>
    </w:p>
    <w:p w:rsidR="0084014A" w:rsidRDefault="00093336">
      <w:pPr>
        <w:spacing w:before="240"/>
      </w:pPr>
      <w:r>
        <w:tab/>
        <w:t xml:space="preserve"> Источниками загрязнения атмосферного воздуха являются дыхательные клапаны резервуаров в процессе хранения (малое дыхание) и слива (большое дыхание) жидкостей. </w:t>
      </w:r>
    </w:p>
    <w:p w:rsidR="0084014A" w:rsidRDefault="00093336">
      <w:pPr>
        <w:spacing w:before="240"/>
      </w:pPr>
      <w:r>
        <w:tab/>
        <w:t>Расчет выделений загрязняющих веществ выполнен в соответствии с «</w:t>
      </w:r>
      <w:proofErr w:type="gramStart"/>
      <w:r>
        <w:t>Методическими</w:t>
      </w:r>
      <w:proofErr w:type="gramEnd"/>
      <w:r>
        <w:t xml:space="preserve"> </w:t>
      </w:r>
      <w:r>
        <w:t xml:space="preserve">указания по определению выбросов загрязняющих  веществ в атмосферу из резервуаров». Новополоцк, 1997 (с учетом дополнений НИИ Атмосфера 1999, 2005, 2010 </w:t>
      </w:r>
      <w:proofErr w:type="spellStart"/>
      <w:r>
        <w:t>г.</w:t>
      </w:r>
      <w:proofErr w:type="gramStart"/>
      <w:r>
        <w:t>г</w:t>
      </w:r>
      <w:proofErr w:type="spellEnd"/>
      <w:proofErr w:type="gramEnd"/>
      <w:r>
        <w:t>.).</w:t>
      </w:r>
    </w:p>
    <w:p w:rsidR="0084014A" w:rsidRDefault="00093336">
      <w:pPr>
        <w:spacing w:before="240" w:after="240"/>
      </w:pPr>
      <w:r>
        <w:tab/>
        <w:t>Количественная и качественная характеристика загрязняющих веществ, выделяющихся в атм</w:t>
      </w:r>
      <w:r>
        <w:t>о</w:t>
      </w:r>
      <w:r>
        <w:t>сферу, пр</w:t>
      </w:r>
      <w:r>
        <w:t>иведена в таблице 1.1.1.</w:t>
      </w:r>
    </w:p>
    <w:p w:rsidR="0084014A" w:rsidRDefault="00093336">
      <w:pPr>
        <w:spacing w:before="240" w:after="120"/>
      </w:pPr>
      <w:r>
        <w:t xml:space="preserve">Таблица 1.1.1 - </w:t>
      </w:r>
      <w:r>
        <w:rPr>
          <w:b/>
        </w:rPr>
        <w:t>Характеристика выделений загрязняющих веществ в атмосферу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4536"/>
        <w:gridCol w:w="2268"/>
        <w:gridCol w:w="2268"/>
      </w:tblGrid>
      <w:tr w:rsidR="0084014A">
        <w:trPr>
          <w:cantSplit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Загрязняющее вещество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Максимально разовый выброс, г/</w:t>
            </w:r>
            <w:proofErr w:type="gramStart"/>
            <w:r>
              <w:t>с</w:t>
            </w:r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Годовой выброс, т/год</w:t>
            </w:r>
          </w:p>
        </w:tc>
      </w:tr>
      <w:tr w:rsidR="0084014A">
        <w:trPr>
          <w:cantSplit/>
          <w:tblHeader/>
        </w:trPr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код</w:t>
            </w:r>
          </w:p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наименование</w:t>
            </w: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  <w:tc>
          <w:tcPr>
            <w:tcW w:w="2268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</w:tr>
      <w:tr w:rsidR="0084014A">
        <w:tc>
          <w:tcPr>
            <w:tcW w:w="851" w:type="dxa"/>
            <w:tcBorders>
              <w:left w:val="single" w:sz="6" w:space="0" w:color="auto"/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303</w:t>
            </w:r>
          </w:p>
        </w:tc>
        <w:tc>
          <w:tcPr>
            <w:tcW w:w="4536" w:type="dxa"/>
            <w:tcBorders>
              <w:bottom w:val="single" w:sz="8" w:space="0" w:color="auto"/>
            </w:tcBorders>
          </w:tcPr>
          <w:p w:rsidR="0084014A" w:rsidRDefault="00093336">
            <w:r>
              <w:t>Аммиак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84014A" w:rsidRDefault="00093336">
            <w:pPr>
              <w:tabs>
                <w:tab w:val="decimal" w:pos="1134"/>
              </w:tabs>
            </w:pPr>
            <w:r>
              <w:t>0,0149664</w:t>
            </w:r>
          </w:p>
        </w:tc>
        <w:tc>
          <w:tcPr>
            <w:tcW w:w="2268" w:type="dxa"/>
            <w:tcBorders>
              <w:bottom w:val="single" w:sz="8" w:space="0" w:color="auto"/>
              <w:right w:val="single" w:sz="6" w:space="0" w:color="auto"/>
            </w:tcBorders>
          </w:tcPr>
          <w:p w:rsidR="0084014A" w:rsidRDefault="00093336">
            <w:pPr>
              <w:tabs>
                <w:tab w:val="decimal" w:pos="1134"/>
              </w:tabs>
            </w:pPr>
            <w:r>
              <w:t>0,0400919</w:t>
            </w:r>
          </w:p>
        </w:tc>
      </w:tr>
    </w:tbl>
    <w:p w:rsidR="0084014A" w:rsidRDefault="00093336">
      <w:pPr>
        <w:spacing w:before="240" w:after="240"/>
      </w:pPr>
      <w:r>
        <w:tab/>
        <w:t>Исходные данные для расчета</w:t>
      </w:r>
      <w:r>
        <w:t xml:space="preserve"> выделений загрязняющих веще</w:t>
      </w:r>
      <w:proofErr w:type="gramStart"/>
      <w:r>
        <w:t>ств пр</w:t>
      </w:r>
      <w:proofErr w:type="gramEnd"/>
      <w:r>
        <w:t>иведены в таблице 1.1.2.</w:t>
      </w:r>
    </w:p>
    <w:p w:rsidR="0084014A" w:rsidRDefault="00093336">
      <w:pPr>
        <w:spacing w:before="240" w:after="120"/>
      </w:pPr>
      <w:r>
        <w:t xml:space="preserve">Таблица 1.1.2 - </w:t>
      </w:r>
      <w:r>
        <w:rPr>
          <w:b/>
        </w:rPr>
        <w:t>Исходные данные для расчета</w:t>
      </w:r>
    </w:p>
    <w:tbl>
      <w:tblPr>
        <w:tblStyle w:val="ReportTable2"/>
        <w:tblW w:w="0" w:type="auto"/>
        <w:tblLayout w:type="fixed"/>
        <w:tblLook w:val="04A0" w:firstRow="1" w:lastRow="0" w:firstColumn="1" w:lastColumn="0" w:noHBand="0" w:noVBand="1"/>
      </w:tblPr>
      <w:tblGrid>
        <w:gridCol w:w="2892"/>
        <w:gridCol w:w="567"/>
        <w:gridCol w:w="567"/>
        <w:gridCol w:w="624"/>
        <w:gridCol w:w="624"/>
        <w:gridCol w:w="2438"/>
        <w:gridCol w:w="794"/>
        <w:gridCol w:w="737"/>
        <w:gridCol w:w="964"/>
      </w:tblGrid>
      <w:tr w:rsidR="0084014A">
        <w:trPr>
          <w:tblHeader/>
        </w:trPr>
        <w:tc>
          <w:tcPr>
            <w:tcW w:w="2892" w:type="dxa"/>
            <w:vMerge w:val="restart"/>
            <w:tcBorders>
              <w:top w:val="single" w:sz="8" w:space="0" w:color="auto"/>
              <w:left w:val="single" w:sz="6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Продукт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Время эк</w:t>
            </w:r>
            <w:r>
              <w:t>с</w:t>
            </w:r>
            <w:r>
              <w:t>плуатации резервуара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Температура жидкости в резервуаре, °</w:t>
            </w:r>
            <w:proofErr w:type="gramStart"/>
            <w:r>
              <w:t>С</w:t>
            </w:r>
            <w:proofErr w:type="gramEnd"/>
          </w:p>
        </w:tc>
        <w:tc>
          <w:tcPr>
            <w:tcW w:w="2438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Конструкция и режим эк</w:t>
            </w:r>
            <w:r>
              <w:t>с</w:t>
            </w:r>
            <w:r>
              <w:t>плуатации</w:t>
            </w:r>
          </w:p>
        </w:tc>
        <w:tc>
          <w:tcPr>
            <w:tcW w:w="79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Объем выте</w:t>
            </w:r>
            <w:r>
              <w:t>с</w:t>
            </w:r>
            <w:r>
              <w:t xml:space="preserve">няемой смеси, </w:t>
            </w:r>
            <w:proofErr w:type="gramStart"/>
            <w:r>
              <w:t>м</w:t>
            </w:r>
            <w:proofErr w:type="gramEnd"/>
            <w:r>
              <w:t>³/час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Объем одного</w:t>
            </w:r>
            <w:r>
              <w:t xml:space="preserve"> резе</w:t>
            </w:r>
            <w:r>
              <w:t>р</w:t>
            </w:r>
            <w:r>
              <w:t xml:space="preserve">вуара,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Одновр</w:t>
            </w:r>
            <w:r>
              <w:t>е</w:t>
            </w:r>
            <w:r>
              <w:t>менность</w:t>
            </w:r>
          </w:p>
        </w:tc>
      </w:tr>
      <w:tr w:rsidR="0084014A">
        <w:trPr>
          <w:tblHeader/>
        </w:trPr>
        <w:tc>
          <w:tcPr>
            <w:tcW w:w="2892" w:type="dxa"/>
            <w:vMerge/>
            <w:tcBorders>
              <w:left w:val="single" w:sz="6" w:space="0" w:color="auto"/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proofErr w:type="spellStart"/>
            <w:r>
              <w:t>сут</w:t>
            </w:r>
            <w:proofErr w:type="spellEnd"/>
            <w:r>
              <w:t>/год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час/</w:t>
            </w:r>
            <w:proofErr w:type="spellStart"/>
            <w:r>
              <w:t>сут</w:t>
            </w:r>
            <w:proofErr w:type="spellEnd"/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М</w:t>
            </w:r>
            <w:r>
              <w:t>и</w:t>
            </w:r>
            <w:r>
              <w:t>н</w:t>
            </w:r>
            <w:r>
              <w:t>и</w:t>
            </w:r>
            <w:r>
              <w:t>мал</w:t>
            </w:r>
            <w:r>
              <w:t>ь</w:t>
            </w:r>
            <w:r>
              <w:t>ная</w:t>
            </w:r>
          </w:p>
        </w:tc>
        <w:tc>
          <w:tcPr>
            <w:tcW w:w="624" w:type="dxa"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093336">
            <w:pPr>
              <w:jc w:val="center"/>
            </w:pPr>
            <w:r>
              <w:t>Ма</w:t>
            </w:r>
            <w:r>
              <w:t>к</w:t>
            </w:r>
            <w:r>
              <w:t>с</w:t>
            </w:r>
            <w:r>
              <w:t>и</w:t>
            </w:r>
            <w:r>
              <w:t>мал</w:t>
            </w:r>
            <w:r>
              <w:t>ь</w:t>
            </w:r>
            <w:r>
              <w:t>ная</w:t>
            </w:r>
          </w:p>
        </w:tc>
        <w:tc>
          <w:tcPr>
            <w:tcW w:w="2438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  <w:tc>
          <w:tcPr>
            <w:tcW w:w="794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  <w:tc>
          <w:tcPr>
            <w:tcW w:w="737" w:type="dxa"/>
            <w:vMerge/>
            <w:tcBorders>
              <w:bottom w:val="single" w:sz="8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  <w:tc>
          <w:tcPr>
            <w:tcW w:w="964" w:type="dxa"/>
            <w:vMerge/>
            <w:tcBorders>
              <w:bottom w:val="single" w:sz="8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4014A" w:rsidRDefault="0084014A">
            <w:pPr>
              <w:jc w:val="center"/>
            </w:pPr>
          </w:p>
        </w:tc>
      </w:tr>
      <w:tr w:rsidR="0084014A">
        <w:tc>
          <w:tcPr>
            <w:tcW w:w="2892" w:type="dxa"/>
            <w:tcBorders>
              <w:left w:val="single" w:sz="6" w:space="0" w:color="auto"/>
              <w:bottom w:val="single" w:sz="8" w:space="0" w:color="auto"/>
            </w:tcBorders>
          </w:tcPr>
          <w:p w:rsidR="0084014A" w:rsidRDefault="00093336">
            <w:r>
              <w:t>Аммиачная вода. А. температура жидкости близка к температуре воздуха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100</w:t>
            </w:r>
          </w:p>
        </w:tc>
        <w:tc>
          <w:tcPr>
            <w:tcW w:w="567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8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10</w:t>
            </w:r>
          </w:p>
        </w:tc>
        <w:tc>
          <w:tcPr>
            <w:tcW w:w="624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25</w:t>
            </w:r>
          </w:p>
        </w:tc>
        <w:tc>
          <w:tcPr>
            <w:tcW w:w="2438" w:type="dxa"/>
            <w:tcBorders>
              <w:bottom w:val="single" w:sz="8" w:space="0" w:color="auto"/>
            </w:tcBorders>
          </w:tcPr>
          <w:p w:rsidR="0084014A" w:rsidRDefault="00093336">
            <w:r>
              <w:t>Буферная емкость</w:t>
            </w:r>
          </w:p>
        </w:tc>
        <w:tc>
          <w:tcPr>
            <w:tcW w:w="794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100</w:t>
            </w:r>
          </w:p>
        </w:tc>
        <w:tc>
          <w:tcPr>
            <w:tcW w:w="737" w:type="dxa"/>
            <w:tcBorders>
              <w:bottom w:val="single" w:sz="8" w:space="0" w:color="auto"/>
            </w:tcBorders>
          </w:tcPr>
          <w:p w:rsidR="0084014A" w:rsidRDefault="00093336">
            <w:pPr>
              <w:jc w:val="center"/>
            </w:pPr>
            <w:r>
              <w:t>100</w:t>
            </w:r>
          </w:p>
        </w:tc>
        <w:tc>
          <w:tcPr>
            <w:tcW w:w="964" w:type="dxa"/>
            <w:tcBorders>
              <w:bottom w:val="single" w:sz="8" w:space="0" w:color="auto"/>
              <w:right w:val="single" w:sz="6" w:space="0" w:color="auto"/>
            </w:tcBorders>
          </w:tcPr>
          <w:p w:rsidR="0084014A" w:rsidRDefault="00093336">
            <w:pPr>
              <w:jc w:val="center"/>
            </w:pPr>
            <w:r>
              <w:t>+</w:t>
            </w:r>
          </w:p>
        </w:tc>
      </w:tr>
    </w:tbl>
    <w:p w:rsidR="0084014A" w:rsidRDefault="00093336">
      <w:pPr>
        <w:spacing w:before="240"/>
      </w:pPr>
      <w:r>
        <w:tab/>
        <w:t>Максимальные выбросы рассчитываются по формуле (1.1.1):</w:t>
      </w:r>
    </w:p>
    <w:p w:rsidR="0084014A" w:rsidRDefault="00093336">
      <w:pPr>
        <w:spacing w:before="240"/>
        <w:jc w:val="center"/>
      </w:pPr>
      <w:r>
        <w:t xml:space="preserve">0,08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Г</w:t>
      </w:r>
      <w:proofErr w:type="spellEnd"/>
      <w:proofErr w:type="gramEnd"/>
      <w:r>
        <w:t xml:space="preserve"> · </w:t>
      </w:r>
      <w:proofErr w:type="spellStart"/>
      <w:r>
        <w:rPr>
          <w:b/>
          <w:i/>
        </w:rPr>
        <w:t>X</w:t>
      </w:r>
      <w:r>
        <w:rPr>
          <w:i/>
          <w:vertAlign w:val="subscript"/>
        </w:rPr>
        <w:t>i</w:t>
      </w:r>
      <w:proofErr w:type="spellEnd"/>
      <w:r>
        <w:t xml:space="preserve"> ·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proofErr w:type="spellEnd"/>
    </w:p>
    <w:p w:rsidR="0084014A" w:rsidRDefault="00093336">
      <w:pPr>
        <w:tabs>
          <w:tab w:val="center" w:pos="5103"/>
          <w:tab w:val="right" w:pos="9922"/>
        </w:tabs>
      </w:pPr>
      <w:r>
        <w:rPr>
          <w:b/>
          <w:i/>
        </w:rPr>
        <w:tab/>
      </w:r>
      <w:proofErr w:type="spellStart"/>
      <w:r>
        <w:rPr>
          <w:b/>
          <w:i/>
        </w:rPr>
        <w:t>M</w:t>
      </w:r>
      <w:r>
        <w:rPr>
          <w:i/>
          <w:vertAlign w:val="subscript"/>
        </w:rPr>
        <w:t>i</w:t>
      </w:r>
      <w:proofErr w:type="spellEnd"/>
      <w:r>
        <w:t xml:space="preserve"> = ––––––––––––––––––––––––––––, </w:t>
      </w:r>
      <w:r>
        <w:rPr>
          <w:i/>
        </w:rPr>
        <w:t>г/с</w:t>
      </w:r>
      <w:r>
        <w:tab/>
        <w:t>(1.1.1)</w:t>
      </w:r>
    </w:p>
    <w:p w:rsidR="0084014A" w:rsidRDefault="00093336">
      <w:pPr>
        <w:spacing w:after="240"/>
        <w:jc w:val="center"/>
      </w:pPr>
      <w:r>
        <w:t xml:space="preserve">273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ж</w:t>
      </w:r>
      <w:proofErr w:type="spellEnd"/>
      <w:proofErr w:type="gramEnd"/>
    </w:p>
    <w:p w:rsidR="0084014A" w:rsidRDefault="00093336">
      <w:pPr>
        <w:spacing w:before="240"/>
      </w:pPr>
      <w:r>
        <w:tab/>
        <w:t>Годовые выбросы рассчитываются по формуле (1.1.2):</w:t>
      </w:r>
    </w:p>
    <w:p w:rsidR="0084014A" w:rsidRDefault="00093336">
      <w:pPr>
        <w:spacing w:before="240"/>
        <w:jc w:val="center"/>
      </w:pPr>
      <w:r w:rsidRPr="00093336">
        <w:rPr>
          <w:highlight w:val="yellow"/>
        </w:rPr>
        <w:t>0,289</w:t>
      </w:r>
      <w:r>
        <w:t xml:space="preserve"> · (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Г</w:t>
      </w:r>
      <w:proofErr w:type="spellEnd"/>
      <w:r>
        <w:t xml:space="preserve"> + </w:t>
      </w:r>
      <w:proofErr w:type="spellStart"/>
      <w:r>
        <w:rPr>
          <w:b/>
          <w:i/>
        </w:rPr>
        <w:t>K</w:t>
      </w:r>
      <w:r>
        <w:rPr>
          <w:vertAlign w:val="superscript"/>
        </w:rPr>
        <w:t>min</w:t>
      </w:r>
      <w:r>
        <w:rPr>
          <w:i/>
          <w:vertAlign w:val="subscript"/>
        </w:rPr>
        <w:t>Г</w:t>
      </w:r>
      <w:proofErr w:type="spellEnd"/>
      <w:r>
        <w:t xml:space="preserve">) · </w:t>
      </w:r>
      <w:proofErr w:type="spellStart"/>
      <w:r>
        <w:rPr>
          <w:b/>
          <w:i/>
        </w:rPr>
        <w:t>X</w:t>
      </w:r>
      <w:r>
        <w:rPr>
          <w:i/>
          <w:vertAlign w:val="subscript"/>
        </w:rPr>
        <w:t>i</w:t>
      </w:r>
      <w:proofErr w:type="spellEnd"/>
      <w:r>
        <w:t xml:space="preserve"> ·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ср</w:t>
      </w:r>
      <w:r>
        <w:rPr>
          <w:i/>
          <w:vertAlign w:val="subscript"/>
        </w:rPr>
        <w:t>p</w:t>
      </w:r>
      <w:proofErr w:type="spellEnd"/>
      <w:r>
        <w:t xml:space="preserve"> · </w:t>
      </w:r>
      <w:proofErr w:type="spellStart"/>
      <w:r>
        <w:rPr>
          <w:b/>
          <w:i/>
        </w:rPr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proofErr w:type="spellEnd"/>
      <w:r>
        <w:t xml:space="preserve"> · </w:t>
      </w:r>
      <w:r>
        <w:rPr>
          <w:b/>
          <w:i/>
        </w:rPr>
        <w:t>τ</w:t>
      </w:r>
      <w:r>
        <w:rPr>
          <w:i/>
          <w:vertAlign w:val="subscript"/>
        </w:rPr>
        <w:t>1</w:t>
      </w:r>
      <w:r>
        <w:t xml:space="preserve"> · </w:t>
      </w:r>
      <w:r>
        <w:rPr>
          <w:b/>
          <w:i/>
        </w:rPr>
        <w:t>τ</w:t>
      </w:r>
      <w:r>
        <w:rPr>
          <w:i/>
          <w:vertAlign w:val="subscript"/>
        </w:rPr>
        <w:t>2</w:t>
      </w:r>
    </w:p>
    <w:p w:rsidR="0084014A" w:rsidRDefault="00093336">
      <w:pPr>
        <w:tabs>
          <w:tab w:val="center" w:pos="5103"/>
          <w:tab w:val="right" w:pos="9922"/>
        </w:tabs>
      </w:pPr>
      <w:r>
        <w:rPr>
          <w:b/>
          <w:i/>
        </w:rPr>
        <w:tab/>
      </w:r>
      <w:proofErr w:type="spellStart"/>
      <w:r>
        <w:rPr>
          <w:b/>
          <w:i/>
        </w:rPr>
        <w:t>G</w:t>
      </w:r>
      <w:r>
        <w:rPr>
          <w:i/>
          <w:vertAlign w:val="subscript"/>
        </w:rPr>
        <w:t>i</w:t>
      </w:r>
      <w:proofErr w:type="spellEnd"/>
      <w:r>
        <w:t xml:space="preserve"> = –––––––––––––––––––––––––––––––––––, </w:t>
      </w:r>
      <w:r>
        <w:rPr>
          <w:i/>
        </w:rPr>
        <w:t>т/год</w:t>
      </w:r>
      <w:r>
        <w:tab/>
        <w:t>(1.1.2)</w:t>
      </w:r>
    </w:p>
    <w:p w:rsidR="0084014A" w:rsidRDefault="00093336">
      <w:pPr>
        <w:spacing w:after="240"/>
        <w:jc w:val="center"/>
      </w:pPr>
      <w:r>
        <w:t>10</w:t>
      </w:r>
      <w:r>
        <w:rPr>
          <w:vertAlign w:val="superscript"/>
        </w:rPr>
        <w:t>3</w:t>
      </w:r>
      <w:r>
        <w:t xml:space="preserve"> · </w:t>
      </w:r>
      <w:r>
        <w:t xml:space="preserve">(546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max</w:t>
      </w:r>
      <w:proofErr w:type="gramStart"/>
      <w:r>
        <w:rPr>
          <w:i/>
          <w:vertAlign w:val="subscript"/>
        </w:rPr>
        <w:t>ж</w:t>
      </w:r>
      <w:proofErr w:type="spellEnd"/>
      <w:proofErr w:type="gramEnd"/>
      <w:r>
        <w:t xml:space="preserve"> + </w:t>
      </w:r>
      <w:proofErr w:type="spellStart"/>
      <w:r>
        <w:rPr>
          <w:b/>
          <w:i/>
        </w:rPr>
        <w:t>t</w:t>
      </w:r>
      <w:r>
        <w:rPr>
          <w:vertAlign w:val="superscript"/>
        </w:rPr>
        <w:t>min</w:t>
      </w:r>
      <w:r>
        <w:rPr>
          <w:i/>
          <w:vertAlign w:val="subscript"/>
        </w:rPr>
        <w:t>ж</w:t>
      </w:r>
      <w:proofErr w:type="spellEnd"/>
      <w:r>
        <w:t>)</w:t>
      </w:r>
    </w:p>
    <w:p w:rsidR="0084014A" w:rsidRDefault="00093336">
      <w:r>
        <w:t xml:space="preserve">где </w:t>
      </w:r>
      <w:proofErr w:type="spellStart"/>
      <w:r>
        <w:rPr>
          <w:b/>
          <w:i/>
        </w:rPr>
        <w:t>K</w:t>
      </w:r>
      <w:r>
        <w:rPr>
          <w:vertAlign w:val="superscript"/>
        </w:rPr>
        <w:t>min</w:t>
      </w:r>
      <w:r>
        <w:rPr>
          <w:i/>
          <w:vertAlign w:val="subscript"/>
        </w:rPr>
        <w:t>Г</w:t>
      </w:r>
      <w:proofErr w:type="spellEnd"/>
      <w:r>
        <w:t xml:space="preserve"> , </w:t>
      </w:r>
      <w:proofErr w:type="spellStart"/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Г</w:t>
      </w:r>
      <w:proofErr w:type="spellEnd"/>
      <w:r>
        <w:t xml:space="preserve"> – константа Генри при минимальной и максимальной температурах соответственно, </w:t>
      </w:r>
      <w:proofErr w:type="spellStart"/>
      <w:r>
        <w:rPr>
          <w:i/>
        </w:rPr>
        <w:t>мм</w:t>
      </w:r>
      <w:proofErr w:type="gramStart"/>
      <w:r>
        <w:rPr>
          <w:i/>
        </w:rPr>
        <w:t>.р</w:t>
      </w:r>
      <w:proofErr w:type="gramEnd"/>
      <w:r>
        <w:rPr>
          <w:i/>
        </w:rPr>
        <w:t>т.ст</w:t>
      </w:r>
      <w:proofErr w:type="spellEnd"/>
      <w:r>
        <w:rPr>
          <w:i/>
        </w:rPr>
        <w:t>.</w:t>
      </w:r>
      <w:r>
        <w:t>;</w:t>
      </w:r>
    </w:p>
    <w:p w:rsidR="0084014A" w:rsidRDefault="00093336">
      <w:proofErr w:type="spellStart"/>
      <w:r>
        <w:rPr>
          <w:b/>
          <w:i/>
        </w:rPr>
        <w:t>X</w:t>
      </w:r>
      <w:r>
        <w:rPr>
          <w:i/>
          <w:vertAlign w:val="subscript"/>
        </w:rPr>
        <w:t>i</w:t>
      </w:r>
      <w:proofErr w:type="spellEnd"/>
      <w:r>
        <w:t xml:space="preserve"> - массовая доля вещества;</w:t>
      </w:r>
    </w:p>
    <w:p w:rsidR="0084014A" w:rsidRDefault="00093336"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ср</w:t>
      </w:r>
      <w:r>
        <w:rPr>
          <w:i/>
          <w:vertAlign w:val="subscript"/>
        </w:rPr>
        <w:t>p</w:t>
      </w:r>
      <w:r>
        <w:t>,</w:t>
      </w:r>
      <w:r>
        <w:rPr>
          <w:b/>
          <w:i/>
        </w:rPr>
        <w:t>K</w:t>
      </w:r>
      <w:r>
        <w:rPr>
          <w:vertAlign w:val="superscript"/>
        </w:rPr>
        <w:t>max</w:t>
      </w:r>
      <w:r>
        <w:rPr>
          <w:i/>
          <w:vertAlign w:val="subscript"/>
        </w:rPr>
        <w:t>p</w:t>
      </w:r>
      <w:proofErr w:type="spellEnd"/>
      <w:r>
        <w:t xml:space="preserve"> - опытные коэффициенты, принимаются по Приложению 8.</w:t>
      </w:r>
    </w:p>
    <w:p w:rsidR="0084014A" w:rsidRDefault="00093336">
      <w:proofErr w:type="spellStart"/>
      <w:r>
        <w:rPr>
          <w:b/>
          <w:i/>
        </w:rPr>
        <w:lastRenderedPageBreak/>
        <w:t>V</w:t>
      </w:r>
      <w:r>
        <w:rPr>
          <w:vertAlign w:val="superscript"/>
        </w:rPr>
        <w:t>max</w:t>
      </w:r>
      <w:r>
        <w:rPr>
          <w:i/>
          <w:vertAlign w:val="subscript"/>
        </w:rPr>
        <w:t>ч</w:t>
      </w:r>
      <w:proofErr w:type="spellEnd"/>
      <w:r>
        <w:t xml:space="preserve"> - максимальный объём </w:t>
      </w:r>
      <w:r>
        <w:t xml:space="preserve">паровоздушной смеси, вытесняемой из резервуара во время его закачки,  </w:t>
      </w:r>
      <w:proofErr w:type="gramStart"/>
      <w:r>
        <w:rPr>
          <w:i/>
        </w:rPr>
        <w:t>м</w:t>
      </w:r>
      <w:proofErr w:type="gramEnd"/>
      <w:r>
        <w:rPr>
          <w:i/>
        </w:rPr>
        <w:t>³/час</w:t>
      </w:r>
      <w:r>
        <w:t>;</w:t>
      </w:r>
    </w:p>
    <w:p w:rsidR="0084014A" w:rsidRDefault="00093336">
      <w:proofErr w:type="spellStart"/>
      <w:r>
        <w:rPr>
          <w:b/>
          <w:i/>
        </w:rPr>
        <w:t>t</w:t>
      </w:r>
      <w:r>
        <w:rPr>
          <w:vertAlign w:val="superscript"/>
        </w:rPr>
        <w:t>min</w:t>
      </w:r>
      <w:r>
        <w:rPr>
          <w:i/>
          <w:vertAlign w:val="subscript"/>
        </w:rPr>
        <w:t>ж</w:t>
      </w:r>
      <w:r>
        <w:t>,</w:t>
      </w:r>
      <w:r>
        <w:rPr>
          <w:b/>
          <w:i/>
        </w:rPr>
        <w:t>t</w:t>
      </w:r>
      <w:r>
        <w:rPr>
          <w:vertAlign w:val="superscript"/>
        </w:rPr>
        <w:t>max</w:t>
      </w:r>
      <w:r>
        <w:rPr>
          <w:i/>
          <w:vertAlign w:val="subscript"/>
        </w:rPr>
        <w:t>ж</w:t>
      </w:r>
      <w:proofErr w:type="spellEnd"/>
      <w:r>
        <w:t xml:space="preserve"> - минимальная и максимальная температура жидкости в резервуаре соответственно, °</w:t>
      </w:r>
      <w:proofErr w:type="gramStart"/>
      <w:r>
        <w:t>С</w:t>
      </w:r>
      <w:proofErr w:type="gramEnd"/>
      <w:r>
        <w:t>;</w:t>
      </w:r>
    </w:p>
    <w:p w:rsidR="0084014A" w:rsidRDefault="00093336">
      <w:r>
        <w:rPr>
          <w:b/>
          <w:i/>
        </w:rPr>
        <w:t>τ</w:t>
      </w:r>
      <w:r>
        <w:rPr>
          <w:i/>
          <w:vertAlign w:val="subscript"/>
        </w:rPr>
        <w:t>1</w:t>
      </w:r>
      <w:r>
        <w:t>,</w:t>
      </w:r>
      <w:r>
        <w:rPr>
          <w:b/>
          <w:i/>
        </w:rPr>
        <w:t>τ</w:t>
      </w:r>
      <w:r>
        <w:rPr>
          <w:i/>
          <w:vertAlign w:val="subscript"/>
        </w:rPr>
        <w:t>2</w:t>
      </w:r>
      <w:r>
        <w:t xml:space="preserve"> - время эксплуатации резервуара соответственно </w:t>
      </w:r>
      <w:proofErr w:type="spellStart"/>
      <w:r>
        <w:rPr>
          <w:i/>
        </w:rPr>
        <w:t>сут</w:t>
      </w:r>
      <w:proofErr w:type="spellEnd"/>
      <w:r>
        <w:rPr>
          <w:i/>
        </w:rPr>
        <w:t>/год</w:t>
      </w:r>
      <w:r>
        <w:t xml:space="preserve"> и  </w:t>
      </w:r>
      <w:r>
        <w:rPr>
          <w:i/>
        </w:rPr>
        <w:t>час/</w:t>
      </w:r>
      <w:proofErr w:type="spellStart"/>
      <w:r>
        <w:rPr>
          <w:i/>
        </w:rPr>
        <w:t>сут</w:t>
      </w:r>
      <w:proofErr w:type="spellEnd"/>
      <w:r>
        <w:t>.</w:t>
      </w:r>
    </w:p>
    <w:p w:rsidR="0084014A" w:rsidRDefault="00093336">
      <w:pPr>
        <w:spacing w:before="240"/>
      </w:pPr>
      <w:r>
        <w:tab/>
      </w:r>
      <w:r>
        <w:t xml:space="preserve">Значение коэффициента </w:t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proofErr w:type="spellEnd"/>
      <w:r>
        <w:t xml:space="preserve"> для газовой обвязки группы одноцелевых резервуаров определ</w:t>
      </w:r>
      <w:r>
        <w:t>я</w:t>
      </w:r>
      <w:r>
        <w:t>ется в зависимости от одновременности закачки и откачки жидкости из резервуаров по формуле (1.1.3):</w:t>
      </w:r>
    </w:p>
    <w:p w:rsidR="0084014A" w:rsidRDefault="00093336">
      <w:pPr>
        <w:tabs>
          <w:tab w:val="center" w:pos="5103"/>
          <w:tab w:val="right" w:pos="9922"/>
        </w:tabs>
        <w:spacing w:before="240" w:after="240"/>
      </w:pPr>
      <w:r>
        <w:rPr>
          <w:b/>
          <w:i/>
        </w:rPr>
        <w:tab/>
      </w:r>
      <w:proofErr w:type="spellStart"/>
      <w:proofErr w:type="gramStart"/>
      <w:r>
        <w:rPr>
          <w:b/>
          <w:i/>
        </w:rPr>
        <w:t>K</w:t>
      </w:r>
      <w:proofErr w:type="gramEnd"/>
      <w:r>
        <w:rPr>
          <w:vertAlign w:val="superscript"/>
        </w:rPr>
        <w:t>гор</w:t>
      </w:r>
      <w:r>
        <w:rPr>
          <w:i/>
          <w:vertAlign w:val="subscript"/>
        </w:rPr>
        <w:t>р</w:t>
      </w:r>
      <w:proofErr w:type="spellEnd"/>
      <w:r>
        <w:t xml:space="preserve"> = 1,1 · </w:t>
      </w:r>
      <w:proofErr w:type="spellStart"/>
      <w:r>
        <w:rPr>
          <w:b/>
          <w:i/>
        </w:rPr>
        <w:t>K</w:t>
      </w:r>
      <w:r>
        <w:rPr>
          <w:i/>
          <w:vertAlign w:val="subscript"/>
        </w:rPr>
        <w:t>р</w:t>
      </w:r>
      <w:proofErr w:type="spellEnd"/>
      <w:r>
        <w:t xml:space="preserve"> · (</w:t>
      </w:r>
      <w:proofErr w:type="spellStart"/>
      <w:r>
        <w:rPr>
          <w:b/>
          <w:i/>
        </w:rPr>
        <w:t>Q</w:t>
      </w:r>
      <w:r>
        <w:rPr>
          <w:vertAlign w:val="superscript"/>
        </w:rPr>
        <w:t>зак</w:t>
      </w:r>
      <w:proofErr w:type="spellEnd"/>
      <w:r>
        <w:t xml:space="preserve"> - </w:t>
      </w:r>
      <w:proofErr w:type="spellStart"/>
      <w:r>
        <w:rPr>
          <w:b/>
          <w:i/>
        </w:rPr>
        <w:t>Q</w:t>
      </w:r>
      <w:r>
        <w:rPr>
          <w:vertAlign w:val="superscript"/>
        </w:rPr>
        <w:t>отк</w:t>
      </w:r>
      <w:proofErr w:type="spellEnd"/>
      <w:r>
        <w:t xml:space="preserve">) / </w:t>
      </w:r>
      <w:proofErr w:type="spellStart"/>
      <w:r>
        <w:rPr>
          <w:b/>
          <w:i/>
        </w:rPr>
        <w:t>Q</w:t>
      </w:r>
      <w:r>
        <w:rPr>
          <w:vertAlign w:val="superscript"/>
        </w:rPr>
        <w:t>зак</w:t>
      </w:r>
      <w:proofErr w:type="spellEnd"/>
      <w:r>
        <w:tab/>
        <w:t>(1.1.3)</w:t>
      </w:r>
    </w:p>
    <w:p w:rsidR="0084014A" w:rsidRDefault="00093336">
      <w:r>
        <w:t>где (</w:t>
      </w:r>
      <w:proofErr w:type="spellStart"/>
      <w:proofErr w:type="gramStart"/>
      <w:r>
        <w:rPr>
          <w:b/>
          <w:i/>
        </w:rPr>
        <w:t>Q</w:t>
      </w:r>
      <w:proofErr w:type="gramEnd"/>
      <w:r>
        <w:rPr>
          <w:vertAlign w:val="superscript"/>
        </w:rPr>
        <w:t>зак</w:t>
      </w:r>
      <w:proofErr w:type="spellEnd"/>
      <w:r>
        <w:t xml:space="preserve"> - </w:t>
      </w:r>
      <w:proofErr w:type="spellStart"/>
      <w:r>
        <w:rPr>
          <w:b/>
          <w:i/>
        </w:rPr>
        <w:t>Q</w:t>
      </w:r>
      <w:r>
        <w:rPr>
          <w:vertAlign w:val="superscript"/>
        </w:rPr>
        <w:t>отк</w:t>
      </w:r>
      <w:proofErr w:type="spellEnd"/>
      <w:r>
        <w:t xml:space="preserve">) - </w:t>
      </w:r>
      <w:r>
        <w:t>абсолютная средняя разность объемов закачиваемой и откачиваемой из резервуаров жидкости.</w:t>
      </w:r>
    </w:p>
    <w:p w:rsidR="0084014A" w:rsidRDefault="00093336">
      <w:pPr>
        <w:spacing w:before="240"/>
      </w:pPr>
      <w:r>
        <w:tab/>
        <w:t>Расчет максимально разового и годового выделения загрязняющих веществ в атмосферу прив</w:t>
      </w:r>
      <w:r>
        <w:t>е</w:t>
      </w:r>
      <w:r>
        <w:t>ден ниже.</w:t>
      </w:r>
    </w:p>
    <w:p w:rsidR="0084014A" w:rsidRDefault="0084014A"/>
    <w:p w:rsidR="0084014A" w:rsidRDefault="00093336">
      <w:r>
        <w:rPr>
          <w:u w:val="single"/>
        </w:rPr>
        <w:t>Аммиачная вода</w:t>
      </w:r>
    </w:p>
    <w:p w:rsidR="0084014A" w:rsidRDefault="00093336">
      <w:pPr>
        <w:spacing w:before="240"/>
      </w:pPr>
      <w:r>
        <w:tab/>
      </w:r>
      <w:r>
        <w:rPr>
          <w:i/>
        </w:rPr>
        <w:t>303 Аммиак</w:t>
      </w:r>
    </w:p>
    <w:p w:rsidR="0084014A" w:rsidRDefault="00093336">
      <w:r>
        <w:rPr>
          <w:b/>
          <w:i/>
        </w:rPr>
        <w:t>M</w:t>
      </w:r>
      <w:r>
        <w:t xml:space="preserve"> = 0,08 · 2230 · 0,0025 · 0,1 · 100 / (2</w:t>
      </w:r>
      <w:r>
        <w:t xml:space="preserve">73+25) = 0,0149664 </w:t>
      </w:r>
      <w:r>
        <w:rPr>
          <w:i/>
        </w:rPr>
        <w:t>г/</w:t>
      </w:r>
      <w:proofErr w:type="gramStart"/>
      <w:r>
        <w:rPr>
          <w:i/>
        </w:rPr>
        <w:t>с</w:t>
      </w:r>
      <w:proofErr w:type="gramEnd"/>
      <w:r>
        <w:t>;</w:t>
      </w:r>
    </w:p>
    <w:p w:rsidR="0084014A" w:rsidRDefault="00093336">
      <w:r>
        <w:rPr>
          <w:b/>
          <w:i/>
        </w:rPr>
        <w:t>G</w:t>
      </w:r>
      <w:r>
        <w:t xml:space="preserve"> = </w:t>
      </w:r>
      <w:r w:rsidRPr="00093336">
        <w:rPr>
          <w:highlight w:val="yellow"/>
        </w:rPr>
        <w:t>(0,298</w:t>
      </w:r>
      <w:bookmarkStart w:id="0" w:name="_GoBack"/>
      <w:bookmarkEnd w:id="0"/>
      <w:r>
        <w:t xml:space="preserve"> · (2230 + 1800) · 0,0025 · 0,1 · 100 · 8 · 100) / (10</w:t>
      </w:r>
      <w:r>
        <w:rPr>
          <w:vertAlign w:val="superscript"/>
        </w:rPr>
        <w:t>3</w:t>
      </w:r>
      <w:r>
        <w:t xml:space="preserve"> · (546 + 25 + 10)) = 0,0400919 </w:t>
      </w:r>
      <w:r>
        <w:rPr>
          <w:i/>
        </w:rPr>
        <w:t>т/год</w:t>
      </w:r>
      <w:r>
        <w:t>.</w:t>
      </w:r>
    </w:p>
    <w:sectPr w:rsidR="0084014A">
      <w:pgSz w:w="11907" w:h="16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14A"/>
    <w:rsid w:val="00093336"/>
    <w:rsid w:val="0084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</w:style>
  <w:style w:type="paragraph" w:styleId="1">
    <w:name w:val="heading 1"/>
    <w:basedOn w:val="a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ReportTable">
    <w:name w:val="Report Table"/>
    <w:uiPriority w:val="99"/>
    <w:semiHidden/>
    <w:unhideWhenUsed/>
    <w:qFormat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ReportTable2">
    <w:name w:val="Report Table 2"/>
    <w:uiPriority w:val="98"/>
    <w:semiHidden/>
    <w:unhideWhenUsed/>
    <w:qFormat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2023-01-26T05:13:00Z</dcterms:created>
  <dcterms:modified xsi:type="dcterms:W3CDTF">2023-01-26T05:13:00Z</dcterms:modified>
</cp:coreProperties>
</file>