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0F" w:rsidRDefault="00203281">
      <w:pPr>
        <w:pStyle w:val="2"/>
        <w:ind w:firstLine="680"/>
      </w:pPr>
      <w:r>
        <w:t xml:space="preserve"> Поступление вредных веще</w:t>
      </w:r>
      <w:proofErr w:type="gramStart"/>
      <w:r>
        <w:t>ств пр</w:t>
      </w:r>
      <w:proofErr w:type="gramEnd"/>
      <w:r>
        <w:t>и погрузке (перегрузке) материалов</w:t>
      </w:r>
    </w:p>
    <w:p w:rsidR="008C4E0F" w:rsidRDefault="008C4E0F">
      <w:pPr>
        <w:pStyle w:val="a3"/>
        <w:spacing w:after="120" w:line="240" w:lineRule="auto"/>
      </w:pPr>
    </w:p>
    <w:p w:rsidR="008C4E0F" w:rsidRDefault="00203281">
      <w:pPr>
        <w:pStyle w:val="a3"/>
        <w:spacing w:after="120" w:line="240" w:lineRule="auto"/>
      </w:pPr>
      <w:r>
        <w:tab/>
      </w:r>
      <w:r>
        <w:t>Расчёт выделений (выбросов) вредных (загрязняющих) веществ выполнен в соответствии с «Методическим пособием по расчету выбросов от неорганизованных источников в промышленности строительных материалов», Новороссийск, 2001; «Методическим пособием по расчету,</w:t>
      </w:r>
      <w:r>
        <w:t xml:space="preserve"> нормированию и контролю выбросов загрязняющих веществ в атмосферный воздух», СПб</w:t>
      </w:r>
      <w:proofErr w:type="gramStart"/>
      <w:r>
        <w:t xml:space="preserve">., </w:t>
      </w:r>
      <w:proofErr w:type="gramEnd"/>
      <w:r>
        <w:t>2012.</w:t>
      </w:r>
    </w:p>
    <w:p w:rsidR="008C4E0F" w:rsidRDefault="00203281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характеристика загрязняющих веществ, выбрасываемых до и после очистки, приведена в таблице 1.</w:t>
      </w:r>
    </w:p>
    <w:p w:rsidR="008C4E0F" w:rsidRDefault="00203281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выбросов загряз</w:t>
      </w:r>
      <w:r>
        <w:rPr>
          <w:b/>
        </w:rPr>
        <w:t>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680"/>
        <w:gridCol w:w="680"/>
        <w:gridCol w:w="1134"/>
        <w:gridCol w:w="1134"/>
      </w:tblGrid>
      <w:tr w:rsidR="008C4E0F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8C4E0F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 w:rsidR="008C4E0F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2908</w:t>
            </w:r>
          </w:p>
        </w:tc>
        <w:tc>
          <w:tcPr>
            <w:tcW w:w="3458" w:type="dxa"/>
          </w:tcPr>
          <w:p w:rsidR="008C4E0F" w:rsidRDefault="0020328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Пыль неорганическая, содержащая 70-20% двуокиси кремния</w:t>
            </w:r>
          </w:p>
        </w:tc>
        <w:tc>
          <w:tcPr>
            <w:tcW w:w="1134" w:type="dxa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0,0005667</w:t>
            </w:r>
          </w:p>
        </w:tc>
        <w:tc>
          <w:tcPr>
            <w:tcW w:w="1134" w:type="dxa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0,000144</w:t>
            </w:r>
          </w:p>
        </w:tc>
        <w:tc>
          <w:tcPr>
            <w:tcW w:w="680" w:type="dxa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0" w:type="dxa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0,0005667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C4E0F" w:rsidRDefault="0020328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0,000144</w:t>
            </w:r>
          </w:p>
        </w:tc>
      </w:tr>
    </w:tbl>
    <w:p w:rsidR="008C4E0F" w:rsidRDefault="00203281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:rsidR="008C4E0F" w:rsidRDefault="00203281">
      <w:pPr>
        <w:pStyle w:val="a3"/>
        <w:spacing w:before="240"/>
      </w:pPr>
      <w:r>
        <w:tab/>
      </w:r>
      <w:r>
        <w:t>Исходные данные для расчёта выделений (выбросов) загрязняющих веще</w:t>
      </w:r>
      <w:proofErr w:type="gramStart"/>
      <w:r>
        <w:t>ств пр</w:t>
      </w:r>
      <w:proofErr w:type="gramEnd"/>
      <w:r>
        <w:t>иведены в таблице 2.</w:t>
      </w:r>
    </w:p>
    <w:p w:rsidR="008C4E0F" w:rsidRDefault="00203281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964"/>
        <w:gridCol w:w="7030"/>
        <w:gridCol w:w="964"/>
        <w:gridCol w:w="964"/>
      </w:tblGrid>
      <w:tr w:rsidR="008C4E0F">
        <w:trPr>
          <w:cantSplit/>
          <w:trHeight w:val="283"/>
          <w:tblHeader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C4E0F" w:rsidRDefault="00203281">
            <w:pPr>
              <w:pStyle w:val="10"/>
              <w:jc w:val="center"/>
            </w:pPr>
            <w:r>
              <w:t>Ра</w:t>
            </w:r>
            <w:r>
              <w:t>счётный параметр</w:t>
            </w:r>
          </w:p>
        </w:tc>
      </w:tr>
      <w:tr w:rsidR="008C4E0F">
        <w:trPr>
          <w:cantSplit/>
          <w:trHeight w:val="283"/>
          <w:tblHeader/>
        </w:trPr>
        <w:tc>
          <w:tcPr>
            <w:tcW w:w="964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C4E0F" w:rsidRDefault="008C4E0F"/>
        </w:tc>
        <w:tc>
          <w:tcPr>
            <w:tcW w:w="703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C4E0F" w:rsidRDefault="00203281">
            <w:pPr>
              <w:pStyle w:val="10"/>
              <w:jc w:val="center"/>
            </w:pPr>
            <w:r>
              <w:t>характеристика, обозначение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C4E0F" w:rsidRDefault="00203281">
            <w:pPr>
              <w:pStyle w:val="10"/>
              <w:jc w:val="center"/>
            </w:pPr>
            <w:r>
              <w:t>единица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8C4E0F" w:rsidRDefault="00203281">
            <w:pPr>
              <w:pStyle w:val="10"/>
              <w:jc w:val="center"/>
            </w:pPr>
            <w:r>
              <w:t>значение</w:t>
            </w:r>
          </w:p>
        </w:tc>
      </w:tr>
      <w:tr w:rsidR="008C4E0F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C4E0F" w:rsidRDefault="00203281">
            <w:pPr>
              <w:pStyle w:val="10"/>
              <w:jc w:val="left"/>
            </w:pPr>
            <w:r>
              <w:rPr>
                <w:b/>
              </w:rPr>
              <w:t>ИВ №000001. Щебень</w:t>
            </w: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r>
              <w:t xml:space="preserve">Максимальное количество отгружаемого (перегружаемого) материала в час, </w:t>
            </w:r>
            <w:proofErr w:type="spellStart"/>
            <w:r>
              <w:rPr>
                <w:b/>
                <w:i/>
              </w:rPr>
              <w:t>П</w:t>
            </w:r>
            <w:r>
              <w:rPr>
                <w:b/>
                <w:i/>
                <w:vertAlign w:val="subscript"/>
              </w:rPr>
              <w:t>ч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center"/>
            </w:pPr>
            <w:r>
              <w:t>т/час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203281">
            <w:pPr>
              <w:pStyle w:val="10"/>
              <w:jc w:val="center"/>
            </w:pPr>
            <w:r>
              <w:t>1</w:t>
            </w: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proofErr w:type="spellStart"/>
            <w:proofErr w:type="gramStart"/>
            <w:r>
              <w:t>C</w:t>
            </w:r>
            <w:proofErr w:type="gramEnd"/>
            <w:r>
              <w:t>уммарное</w:t>
            </w:r>
            <w:proofErr w:type="spellEnd"/>
            <w:r>
              <w:t xml:space="preserve"> количество отгружаемого (перегружаемого) материала в течение года, </w:t>
            </w:r>
            <w:proofErr w:type="spellStart"/>
            <w:r>
              <w:rPr>
                <w:b/>
                <w:i/>
              </w:rPr>
              <w:t>П</w:t>
            </w:r>
            <w:r>
              <w:rPr>
                <w:b/>
                <w:i/>
                <w:vertAlign w:val="subscript"/>
              </w:rPr>
              <w:t>г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center"/>
            </w:pPr>
            <w:r>
              <w:t>т/год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203281">
            <w:pPr>
              <w:pStyle w:val="10"/>
              <w:jc w:val="center"/>
            </w:pPr>
            <w:r>
              <w:t>100</w:t>
            </w: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Pr="00203281" w:rsidRDefault="00203281">
            <w:pPr>
              <w:pStyle w:val="10"/>
              <w:jc w:val="left"/>
              <w:rPr>
                <w:highlight w:val="yellow"/>
              </w:rPr>
            </w:pPr>
            <w:r w:rsidRPr="00203281">
              <w:rPr>
                <w:highlight w:val="yellow"/>
              </w:rPr>
              <w:t xml:space="preserve">Удельное выделение твердых частиц с тонны отгружаемого (перегружаемого) материала, </w:t>
            </w:r>
            <w:proofErr w:type="spellStart"/>
            <w:proofErr w:type="gramStart"/>
            <w:r w:rsidRPr="00203281">
              <w:rPr>
                <w:b/>
                <w:i/>
                <w:highlight w:val="yellow"/>
              </w:rPr>
              <w:t>q</w:t>
            </w:r>
            <w:proofErr w:type="gramEnd"/>
            <w:r w:rsidRPr="00203281">
              <w:rPr>
                <w:b/>
                <w:i/>
                <w:highlight w:val="yellow"/>
                <w:vertAlign w:val="superscript"/>
              </w:rPr>
              <w:t>п</w:t>
            </w:r>
            <w:r w:rsidRPr="00203281">
              <w:rPr>
                <w:b/>
                <w:i/>
                <w:highlight w:val="yellow"/>
                <w:vertAlign w:val="subscript"/>
              </w:rPr>
              <w:t>уд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Pr="00203281" w:rsidRDefault="00203281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203281">
              <w:rPr>
                <w:highlight w:val="yellow"/>
              </w:rPr>
              <w:t>г</w:t>
            </w:r>
            <w:proofErr w:type="gramEnd"/>
            <w:r w:rsidRPr="00203281">
              <w:rPr>
                <w:highlight w:val="yellow"/>
              </w:rPr>
              <w:t>/т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Pr="00203281" w:rsidRDefault="00203281">
            <w:pPr>
              <w:pStyle w:val="10"/>
              <w:jc w:val="center"/>
              <w:rPr>
                <w:highlight w:val="yellow"/>
              </w:rPr>
            </w:pPr>
            <w:r w:rsidRPr="00203281">
              <w:rPr>
                <w:highlight w:val="yellow"/>
              </w:rPr>
              <w:t>3</w:t>
            </w: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r>
              <w:t xml:space="preserve">Коэффициент, учитывающий местные метеоусловия, 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vertAlign w:val="subscript"/>
              </w:rPr>
              <w:t>3</w:t>
            </w:r>
            <w:r>
              <w:t xml:space="preserve"> в зависимости от расчётной скорости ветра: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8C4E0F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8C4E0F">
            <w:pPr>
              <w:pStyle w:val="10"/>
              <w:jc w:val="center"/>
            </w:pP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r>
              <w:t xml:space="preserve">   1 (м/с)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203281">
            <w:pPr>
              <w:pStyle w:val="10"/>
              <w:jc w:val="center"/>
            </w:pPr>
            <w:r>
              <w:t>1</w:t>
            </w: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r>
              <w:t xml:space="preserve">   2 (м/с)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203281">
            <w:pPr>
              <w:pStyle w:val="10"/>
              <w:jc w:val="center"/>
            </w:pPr>
            <w:r>
              <w:t>1,2</w:t>
            </w: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r>
              <w:t xml:space="preserve">   4 (м/с)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203281">
            <w:pPr>
              <w:pStyle w:val="10"/>
              <w:jc w:val="center"/>
            </w:pPr>
            <w:r>
              <w:t>1,2</w:t>
            </w: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r>
              <w:t xml:space="preserve">   7 (м/с)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203281">
            <w:pPr>
              <w:pStyle w:val="10"/>
              <w:jc w:val="center"/>
            </w:pPr>
            <w:r>
              <w:t>1,7</w:t>
            </w: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r>
              <w:t xml:space="preserve">   2,2 (среднегодовая, </w:t>
            </w:r>
            <w:proofErr w:type="gramStart"/>
            <w:r>
              <w:t>м</w:t>
            </w:r>
            <w:proofErr w:type="gramEnd"/>
            <w:r>
              <w:t>/с)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203281">
            <w:pPr>
              <w:pStyle w:val="10"/>
              <w:jc w:val="center"/>
            </w:pPr>
            <w:r>
              <w:t>1,2</w:t>
            </w: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r>
              <w:t xml:space="preserve">Коэффициент, учитывающий местные условия, 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vertAlign w:val="subscript"/>
              </w:rPr>
              <w:t>4</w:t>
            </w:r>
            <w:r>
              <w:t xml:space="preserve"> (склады, хранилища, открытые с 4-х сторон, пересыпка пылящего материала без применения загрузочного рукава)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203281">
            <w:pPr>
              <w:pStyle w:val="10"/>
              <w:jc w:val="center"/>
            </w:pPr>
            <w:r>
              <w:t>1</w:t>
            </w: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r>
              <w:t xml:space="preserve">Коэффициент, учитывающий влажность материала, 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vertAlign w:val="subscript"/>
              </w:rPr>
              <w:t>5</w:t>
            </w:r>
            <w:r>
              <w:t xml:space="preserve"> (0-0,5%)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203281">
            <w:pPr>
              <w:pStyle w:val="10"/>
              <w:jc w:val="center"/>
            </w:pPr>
            <w:r>
              <w:t>1</w:t>
            </w: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r>
              <w:t xml:space="preserve">Коэффициент, учитывающий высоту пересыпки, </w:t>
            </w:r>
            <w:r>
              <w:rPr>
                <w:b/>
                <w:i/>
              </w:rPr>
              <w:t>В</w:t>
            </w:r>
            <w:r>
              <w:t xml:space="preserve"> (0,5 м)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203281">
            <w:pPr>
              <w:pStyle w:val="10"/>
              <w:jc w:val="center"/>
            </w:pPr>
            <w:r>
              <w:t>0,4</w:t>
            </w: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r>
              <w:t>Массовая доля загрязняющего вещества в составе пыли: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8C4E0F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8C4E0F">
            <w:pPr>
              <w:pStyle w:val="10"/>
              <w:jc w:val="center"/>
            </w:pPr>
          </w:p>
        </w:tc>
      </w:tr>
      <w:tr w:rsidR="008C4E0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E0F" w:rsidRDefault="008C4E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left"/>
            </w:pPr>
            <w:r>
              <w:t xml:space="preserve">    2908. Пыль неорганическая, содержащая 70-20% двуокиси кремния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4E0F" w:rsidRDefault="00203281">
            <w:pPr>
              <w:pStyle w:val="10"/>
              <w:jc w:val="center"/>
            </w:pPr>
            <w:proofErr w:type="spellStart"/>
            <w:r>
              <w:t>дол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E0F" w:rsidRDefault="00203281">
            <w:pPr>
              <w:pStyle w:val="10"/>
              <w:jc w:val="center"/>
            </w:pPr>
            <w:r>
              <w:t>1</w:t>
            </w:r>
          </w:p>
        </w:tc>
      </w:tr>
      <w:tr w:rsidR="008C4E0F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F" w:rsidRDefault="008C4E0F"/>
        </w:tc>
      </w:tr>
    </w:tbl>
    <w:p w:rsidR="008C4E0F" w:rsidRDefault="00203281">
      <w:pPr>
        <w:pStyle w:val="a3"/>
        <w:spacing w:before="240"/>
      </w:pPr>
      <w:r>
        <w:tab/>
      </w:r>
      <w:r>
        <w:t>Принятые условные обозначения, расчётные формулы, а также расчётные параметры и их обоснование приведены ниже.</w:t>
      </w:r>
    </w:p>
    <w:p w:rsidR="008C4E0F" w:rsidRDefault="00203281">
      <w:pPr>
        <w:pStyle w:val="a3"/>
      </w:pPr>
      <w:r>
        <w:tab/>
      </w:r>
      <w:r>
        <w:t>Максимально разовый выброс пыли при погрузке (перегрузке) материала, рассчитывается по формуле (1):</w:t>
      </w:r>
    </w:p>
    <w:p w:rsidR="008C4E0F" w:rsidRDefault="00203281">
      <w:pPr>
        <w:pStyle w:val="a3"/>
        <w:tabs>
          <w:tab w:val="center" w:pos="4933"/>
          <w:tab w:val="right" w:pos="9866"/>
        </w:tabs>
        <w:spacing w:before="120" w:after="120"/>
      </w:pPr>
      <w:r>
        <w:lastRenderedPageBreak/>
        <w:tab/>
      </w:r>
      <w:r w:rsidRPr="00203281">
        <w:rPr>
          <w:b/>
          <w:i/>
          <w:highlight w:val="yellow"/>
        </w:rPr>
        <w:t>М</w:t>
      </w:r>
      <w:r w:rsidRPr="00203281">
        <w:rPr>
          <w:i/>
          <w:highlight w:val="yellow"/>
          <w:vertAlign w:val="subscript"/>
        </w:rPr>
        <w:t>П</w:t>
      </w:r>
      <w:r w:rsidRPr="00203281">
        <w:rPr>
          <w:highlight w:val="yellow"/>
        </w:rPr>
        <w:t xml:space="preserve"> = </w:t>
      </w:r>
      <w:r w:rsidRPr="00203281">
        <w:rPr>
          <w:b/>
          <w:i/>
          <w:highlight w:val="yellow"/>
        </w:rPr>
        <w:t>K</w:t>
      </w:r>
      <w:r w:rsidRPr="00203281">
        <w:rPr>
          <w:i/>
          <w:highlight w:val="yellow"/>
          <w:vertAlign w:val="subscript"/>
        </w:rPr>
        <w:t>3</w:t>
      </w:r>
      <w:r w:rsidRPr="00203281">
        <w:rPr>
          <w:highlight w:val="yellow"/>
        </w:rPr>
        <w:t xml:space="preserve"> · </w:t>
      </w:r>
      <w:r w:rsidRPr="00203281">
        <w:rPr>
          <w:b/>
          <w:i/>
          <w:highlight w:val="yellow"/>
        </w:rPr>
        <w:t>K</w:t>
      </w:r>
      <w:r w:rsidRPr="00203281">
        <w:rPr>
          <w:i/>
          <w:highlight w:val="yellow"/>
          <w:vertAlign w:val="subscript"/>
        </w:rPr>
        <w:t>4</w:t>
      </w:r>
      <w:r w:rsidRPr="00203281">
        <w:rPr>
          <w:highlight w:val="yellow"/>
        </w:rPr>
        <w:t xml:space="preserve"> · </w:t>
      </w:r>
      <w:r w:rsidRPr="00203281">
        <w:rPr>
          <w:b/>
          <w:i/>
          <w:highlight w:val="yellow"/>
        </w:rPr>
        <w:t>K</w:t>
      </w:r>
      <w:r w:rsidRPr="00203281">
        <w:rPr>
          <w:i/>
          <w:highlight w:val="yellow"/>
          <w:vertAlign w:val="subscript"/>
        </w:rPr>
        <w:t>5</w:t>
      </w:r>
      <w:r w:rsidRPr="00203281">
        <w:rPr>
          <w:highlight w:val="yellow"/>
        </w:rPr>
        <w:t xml:space="preserve"> · </w:t>
      </w:r>
      <w:r w:rsidRPr="00203281">
        <w:rPr>
          <w:b/>
          <w:i/>
          <w:highlight w:val="yellow"/>
        </w:rPr>
        <w:t>B</w:t>
      </w:r>
      <w:r w:rsidRPr="00203281">
        <w:rPr>
          <w:highlight w:val="yellow"/>
        </w:rPr>
        <w:t xml:space="preserve"> · </w:t>
      </w:r>
      <w:proofErr w:type="spellStart"/>
      <w:proofErr w:type="gramStart"/>
      <w:r w:rsidRPr="00203281">
        <w:rPr>
          <w:b/>
          <w:i/>
          <w:highlight w:val="yellow"/>
        </w:rPr>
        <w:t>q</w:t>
      </w:r>
      <w:proofErr w:type="gramEnd"/>
      <w:r w:rsidRPr="00203281">
        <w:rPr>
          <w:i/>
          <w:highlight w:val="yellow"/>
          <w:vertAlign w:val="superscript"/>
        </w:rPr>
        <w:t>п</w:t>
      </w:r>
      <w:r w:rsidRPr="00203281">
        <w:rPr>
          <w:i/>
          <w:highlight w:val="yellow"/>
          <w:vertAlign w:val="subscript"/>
        </w:rPr>
        <w:t>уд</w:t>
      </w:r>
      <w:proofErr w:type="spellEnd"/>
      <w:r w:rsidRPr="00203281">
        <w:rPr>
          <w:highlight w:val="yellow"/>
        </w:rPr>
        <w:t xml:space="preserve"> · </w:t>
      </w:r>
      <w:proofErr w:type="spellStart"/>
      <w:r w:rsidRPr="00203281">
        <w:rPr>
          <w:b/>
          <w:i/>
          <w:highlight w:val="yellow"/>
        </w:rPr>
        <w:t>П</w:t>
      </w:r>
      <w:r w:rsidRPr="00203281">
        <w:rPr>
          <w:i/>
          <w:highlight w:val="yellow"/>
          <w:vertAlign w:val="subscript"/>
        </w:rPr>
        <w:t>ч</w:t>
      </w:r>
      <w:proofErr w:type="spellEnd"/>
      <w:r w:rsidRPr="00203281">
        <w:rPr>
          <w:highlight w:val="yellow"/>
        </w:rPr>
        <w:t xml:space="preserve"> / 3600, </w:t>
      </w:r>
      <w:r w:rsidRPr="00203281">
        <w:rPr>
          <w:i/>
          <w:highlight w:val="yellow"/>
        </w:rPr>
        <w:t>г/с</w:t>
      </w:r>
      <w:r>
        <w:tab/>
      </w:r>
      <w:r>
        <w:t>(1)</w:t>
      </w:r>
    </w:p>
    <w:p w:rsidR="008C4E0F" w:rsidRDefault="00203281">
      <w:pPr>
        <w:pStyle w:val="a3"/>
      </w:pPr>
      <w:r>
        <w:t xml:space="preserve">где </w:t>
      </w:r>
      <w:r>
        <w:rPr>
          <w:b/>
          <w:i/>
        </w:rPr>
        <w:t>K</w:t>
      </w:r>
      <w:r>
        <w:rPr>
          <w:i/>
          <w:vertAlign w:val="subscript"/>
        </w:rPr>
        <w:t>3</w:t>
      </w:r>
      <w:r>
        <w:t xml:space="preserve"> – коэффициент, учитывающий местные метеоусловия;</w:t>
      </w:r>
    </w:p>
    <w:p w:rsidR="008C4E0F" w:rsidRDefault="00203281">
      <w:pPr>
        <w:pStyle w:val="a3"/>
      </w:pPr>
      <w:r>
        <w:rPr>
          <w:b/>
          <w:i/>
        </w:rPr>
        <w:t>K</w:t>
      </w:r>
      <w:r>
        <w:rPr>
          <w:i/>
          <w:vertAlign w:val="subscript"/>
        </w:rPr>
        <w:t>4</w:t>
      </w:r>
      <w:r>
        <w:t xml:space="preserve"> – коэффициент, учитывающий местные условия, степень защищенности узла от внешних воздействий, условия пылеобразования;</w:t>
      </w:r>
    </w:p>
    <w:p w:rsidR="008C4E0F" w:rsidRDefault="00203281">
      <w:pPr>
        <w:pStyle w:val="a3"/>
      </w:pPr>
      <w:r>
        <w:rPr>
          <w:b/>
          <w:i/>
        </w:rPr>
        <w:t>K</w:t>
      </w:r>
      <w:r>
        <w:rPr>
          <w:i/>
          <w:vertAlign w:val="subscript"/>
        </w:rPr>
        <w:t>5</w:t>
      </w:r>
      <w:r>
        <w:t xml:space="preserve"> – коэффициент, учитывающий влажность материала;</w:t>
      </w:r>
    </w:p>
    <w:p w:rsidR="008C4E0F" w:rsidRDefault="00203281">
      <w:pPr>
        <w:pStyle w:val="a3"/>
      </w:pPr>
      <w:r>
        <w:rPr>
          <w:b/>
          <w:i/>
        </w:rPr>
        <w:t>B</w:t>
      </w:r>
      <w:r>
        <w:t xml:space="preserve"> – коэффи</w:t>
      </w:r>
      <w:r>
        <w:t>циент, учитывающий высоту пересыпки;</w:t>
      </w:r>
    </w:p>
    <w:p w:rsidR="008C4E0F" w:rsidRDefault="00203281">
      <w:pPr>
        <w:pStyle w:val="a3"/>
      </w:pPr>
      <w:proofErr w:type="spellStart"/>
      <w:proofErr w:type="gramStart"/>
      <w:r>
        <w:rPr>
          <w:b/>
          <w:i/>
        </w:rPr>
        <w:t>q</w:t>
      </w:r>
      <w:proofErr w:type="gramEnd"/>
      <w:r>
        <w:rPr>
          <w:i/>
          <w:vertAlign w:val="superscript"/>
        </w:rPr>
        <w:t>п</w:t>
      </w:r>
      <w:r>
        <w:rPr>
          <w:i/>
          <w:vertAlign w:val="subscript"/>
        </w:rPr>
        <w:t>уд</w:t>
      </w:r>
      <w:proofErr w:type="spellEnd"/>
      <w:r>
        <w:t xml:space="preserve"> – удельное выделение твердых частиц с тонны отгружаемого (перегружаемого) материала, </w:t>
      </w:r>
      <w:r>
        <w:rPr>
          <w:i/>
        </w:rPr>
        <w:t>г/т</w:t>
      </w:r>
      <w:r>
        <w:t>;</w:t>
      </w:r>
    </w:p>
    <w:p w:rsidR="008C4E0F" w:rsidRDefault="00203281">
      <w:pPr>
        <w:pStyle w:val="a3"/>
      </w:pPr>
      <w:proofErr w:type="spellStart"/>
      <w:r>
        <w:rPr>
          <w:b/>
          <w:i/>
        </w:rPr>
        <w:t>П</w:t>
      </w:r>
      <w:r>
        <w:rPr>
          <w:i/>
          <w:vertAlign w:val="subscript"/>
        </w:rPr>
        <w:t>ч</w:t>
      </w:r>
      <w:proofErr w:type="spellEnd"/>
      <w:r>
        <w:t xml:space="preserve"> – количество отгружаемого (перегружаемого) материала в течение часа,  </w:t>
      </w:r>
      <w:r>
        <w:rPr>
          <w:i/>
        </w:rPr>
        <w:t>т/час</w:t>
      </w:r>
      <w:r>
        <w:t>.</w:t>
      </w:r>
    </w:p>
    <w:p w:rsidR="008C4E0F" w:rsidRDefault="008C4E0F">
      <w:pPr>
        <w:pStyle w:val="a3"/>
      </w:pPr>
    </w:p>
    <w:p w:rsidR="008C4E0F" w:rsidRDefault="00203281">
      <w:pPr>
        <w:pStyle w:val="a3"/>
      </w:pPr>
      <w:r>
        <w:tab/>
      </w:r>
      <w:r>
        <w:t>Валовый выброс пыли при погрузке (перегруз</w:t>
      </w:r>
      <w:r>
        <w:t>ке) материала, рассчитывается по формуле (2):</w:t>
      </w:r>
    </w:p>
    <w:p w:rsidR="008C4E0F" w:rsidRDefault="00203281">
      <w:pPr>
        <w:pStyle w:val="a3"/>
        <w:tabs>
          <w:tab w:val="center" w:pos="4933"/>
          <w:tab w:val="right" w:pos="9866"/>
        </w:tabs>
        <w:spacing w:before="120" w:after="120"/>
      </w:pPr>
      <w:r>
        <w:tab/>
      </w:r>
      <w:r w:rsidRPr="00203281">
        <w:rPr>
          <w:b/>
          <w:i/>
          <w:highlight w:val="yellow"/>
        </w:rPr>
        <w:t>М</w:t>
      </w:r>
      <w:r w:rsidRPr="00203281">
        <w:rPr>
          <w:i/>
          <w:highlight w:val="yellow"/>
          <w:vertAlign w:val="subscript"/>
        </w:rPr>
        <w:t>ГП</w:t>
      </w:r>
      <w:r w:rsidRPr="00203281">
        <w:rPr>
          <w:highlight w:val="yellow"/>
        </w:rPr>
        <w:t xml:space="preserve"> = </w:t>
      </w:r>
      <w:r w:rsidRPr="00203281">
        <w:rPr>
          <w:b/>
          <w:i/>
          <w:highlight w:val="yellow"/>
        </w:rPr>
        <w:t>K</w:t>
      </w:r>
      <w:r w:rsidRPr="00203281">
        <w:rPr>
          <w:i/>
          <w:highlight w:val="yellow"/>
          <w:vertAlign w:val="subscript"/>
        </w:rPr>
        <w:t>3</w:t>
      </w:r>
      <w:r w:rsidRPr="00203281">
        <w:rPr>
          <w:highlight w:val="yellow"/>
        </w:rPr>
        <w:t xml:space="preserve"> · </w:t>
      </w:r>
      <w:r w:rsidRPr="00203281">
        <w:rPr>
          <w:b/>
          <w:i/>
          <w:highlight w:val="yellow"/>
        </w:rPr>
        <w:t>K</w:t>
      </w:r>
      <w:r w:rsidRPr="00203281">
        <w:rPr>
          <w:i/>
          <w:highlight w:val="yellow"/>
          <w:vertAlign w:val="subscript"/>
        </w:rPr>
        <w:t>4</w:t>
      </w:r>
      <w:r w:rsidRPr="00203281">
        <w:rPr>
          <w:highlight w:val="yellow"/>
        </w:rPr>
        <w:t xml:space="preserve"> · </w:t>
      </w:r>
      <w:r w:rsidRPr="00203281">
        <w:rPr>
          <w:b/>
          <w:i/>
          <w:highlight w:val="yellow"/>
        </w:rPr>
        <w:t>K</w:t>
      </w:r>
      <w:r w:rsidRPr="00203281">
        <w:rPr>
          <w:i/>
          <w:highlight w:val="yellow"/>
          <w:vertAlign w:val="subscript"/>
        </w:rPr>
        <w:t>5</w:t>
      </w:r>
      <w:r w:rsidRPr="00203281">
        <w:rPr>
          <w:highlight w:val="yellow"/>
        </w:rPr>
        <w:t xml:space="preserve"> · </w:t>
      </w:r>
      <w:r w:rsidRPr="00203281">
        <w:rPr>
          <w:b/>
          <w:i/>
          <w:highlight w:val="yellow"/>
        </w:rPr>
        <w:t>B</w:t>
      </w:r>
      <w:r w:rsidRPr="00203281">
        <w:rPr>
          <w:highlight w:val="yellow"/>
        </w:rPr>
        <w:t xml:space="preserve"> · </w:t>
      </w:r>
      <w:proofErr w:type="spellStart"/>
      <w:proofErr w:type="gramStart"/>
      <w:r w:rsidRPr="00203281">
        <w:rPr>
          <w:b/>
          <w:i/>
          <w:highlight w:val="yellow"/>
        </w:rPr>
        <w:t>q</w:t>
      </w:r>
      <w:proofErr w:type="gramEnd"/>
      <w:r w:rsidRPr="00203281">
        <w:rPr>
          <w:i/>
          <w:highlight w:val="yellow"/>
          <w:vertAlign w:val="superscript"/>
        </w:rPr>
        <w:t>п</w:t>
      </w:r>
      <w:r w:rsidRPr="00203281">
        <w:rPr>
          <w:i/>
          <w:highlight w:val="yellow"/>
          <w:vertAlign w:val="subscript"/>
        </w:rPr>
        <w:t>уд</w:t>
      </w:r>
      <w:proofErr w:type="spellEnd"/>
      <w:r w:rsidRPr="00203281">
        <w:rPr>
          <w:highlight w:val="yellow"/>
        </w:rPr>
        <w:t xml:space="preserve"> · </w:t>
      </w:r>
      <w:proofErr w:type="spellStart"/>
      <w:r w:rsidRPr="00203281">
        <w:rPr>
          <w:b/>
          <w:i/>
          <w:highlight w:val="yellow"/>
        </w:rPr>
        <w:t>П</w:t>
      </w:r>
      <w:r w:rsidRPr="00203281">
        <w:rPr>
          <w:i/>
          <w:highlight w:val="yellow"/>
          <w:vertAlign w:val="subscript"/>
        </w:rPr>
        <w:t>г</w:t>
      </w:r>
      <w:proofErr w:type="spellEnd"/>
      <w:r w:rsidRPr="00203281">
        <w:rPr>
          <w:highlight w:val="yellow"/>
        </w:rPr>
        <w:t xml:space="preserve"> · </w:t>
      </w:r>
      <w:r w:rsidRPr="00203281">
        <w:rPr>
          <w:b/>
          <w:i/>
          <w:highlight w:val="yellow"/>
        </w:rPr>
        <w:t>10</w:t>
      </w:r>
      <w:r w:rsidRPr="00203281">
        <w:rPr>
          <w:i/>
          <w:highlight w:val="yellow"/>
          <w:vertAlign w:val="superscript"/>
        </w:rPr>
        <w:t>-6</w:t>
      </w:r>
      <w:r w:rsidRPr="00203281">
        <w:rPr>
          <w:highlight w:val="yellow"/>
        </w:rPr>
        <w:t xml:space="preserve">, </w:t>
      </w:r>
      <w:r w:rsidRPr="00203281">
        <w:rPr>
          <w:i/>
          <w:highlight w:val="yellow"/>
        </w:rPr>
        <w:t>т/год</w:t>
      </w:r>
      <w:bookmarkStart w:id="0" w:name="_GoBack"/>
      <w:bookmarkEnd w:id="0"/>
      <w:r>
        <w:tab/>
      </w:r>
      <w:r>
        <w:t>(2)</w:t>
      </w:r>
    </w:p>
    <w:p w:rsidR="008C4E0F" w:rsidRDefault="00203281">
      <w:pPr>
        <w:pStyle w:val="a3"/>
      </w:pPr>
      <w:r>
        <w:t xml:space="preserve">где </w:t>
      </w:r>
      <w:proofErr w:type="spellStart"/>
      <w:r>
        <w:rPr>
          <w:b/>
          <w:i/>
        </w:rPr>
        <w:t>П</w:t>
      </w:r>
      <w:r>
        <w:rPr>
          <w:i/>
          <w:vertAlign w:val="subscript"/>
        </w:rPr>
        <w:t>г</w:t>
      </w:r>
      <w:proofErr w:type="spellEnd"/>
      <w:r>
        <w:t xml:space="preserve"> – суммарное количество отгружаемого (перегружаемого) материала в течение года,  </w:t>
      </w:r>
      <w:r>
        <w:rPr>
          <w:i/>
        </w:rPr>
        <w:t>т/год</w:t>
      </w:r>
      <w:r>
        <w:t>.</w:t>
      </w:r>
    </w:p>
    <w:p w:rsidR="008C4E0F" w:rsidRDefault="00203281">
      <w:pPr>
        <w:pStyle w:val="a3"/>
      </w:pPr>
      <w:r>
        <w:tab/>
      </w:r>
      <w:r>
        <w:t>При расчете выделения конкретного загрязняющего вещества в ви</w:t>
      </w:r>
      <w:r>
        <w:t>де дополнительного множителя учитывается массовая доля данного вещества в составе пыли.</w:t>
      </w:r>
    </w:p>
    <w:p w:rsidR="008C4E0F" w:rsidRDefault="008C4E0F">
      <w:pPr>
        <w:pStyle w:val="a3"/>
      </w:pPr>
    </w:p>
    <w:p w:rsidR="008C4E0F" w:rsidRDefault="00203281">
      <w:pPr>
        <w:pStyle w:val="a3"/>
      </w:pPr>
      <w:r>
        <w:tab/>
      </w:r>
      <w:r>
        <w:t>Расчёт годового и максимально разового выделения (выброса) загрязняющих веществ в атмосферу приведен ниже.</w:t>
      </w:r>
    </w:p>
    <w:p w:rsidR="008C4E0F" w:rsidRDefault="00203281">
      <w:pPr>
        <w:pStyle w:val="a3"/>
        <w:spacing w:before="120"/>
        <w:jc w:val="left"/>
      </w:pPr>
      <w:r>
        <w:rPr>
          <w:u w:val="single"/>
        </w:rPr>
        <w:t>ИВ №000001. Щебень</w:t>
      </w:r>
    </w:p>
    <w:p w:rsidR="008C4E0F" w:rsidRDefault="00203281">
      <w:pPr>
        <w:pStyle w:val="a3"/>
        <w:spacing w:line="240" w:lineRule="auto"/>
      </w:pPr>
      <w:proofErr w:type="gramStart"/>
      <w:r>
        <w:rPr>
          <w:i/>
        </w:rPr>
        <w:t>M</w:t>
      </w:r>
      <w:proofErr w:type="gramEnd"/>
      <w:r>
        <w:rPr>
          <w:i/>
          <w:vertAlign w:val="subscript"/>
        </w:rPr>
        <w:t>П 2908</w:t>
      </w:r>
      <w:r>
        <w:rPr>
          <w:i/>
          <w:vertAlign w:val="superscript"/>
        </w:rPr>
        <w:t>1 м/с</w:t>
      </w:r>
      <w:r>
        <w:rPr>
          <w:i/>
        </w:rPr>
        <w:t xml:space="preserve"> = 1 · 1 · 1 · 0,4 · 3 · 1 / 3600 · 1 = 0,0003334 г/с;</w:t>
      </w:r>
    </w:p>
    <w:p w:rsidR="008C4E0F" w:rsidRDefault="00203281">
      <w:pPr>
        <w:pStyle w:val="a3"/>
        <w:spacing w:line="240" w:lineRule="auto"/>
      </w:pPr>
      <w:proofErr w:type="gramStart"/>
      <w:r>
        <w:rPr>
          <w:i/>
        </w:rPr>
        <w:t>M</w:t>
      </w:r>
      <w:proofErr w:type="gramEnd"/>
      <w:r>
        <w:rPr>
          <w:i/>
          <w:vertAlign w:val="subscript"/>
        </w:rPr>
        <w:t>П 2908</w:t>
      </w:r>
      <w:r>
        <w:rPr>
          <w:i/>
          <w:vertAlign w:val="superscript"/>
        </w:rPr>
        <w:t>2 м/с</w:t>
      </w:r>
      <w:r>
        <w:rPr>
          <w:i/>
        </w:rPr>
        <w:t xml:space="preserve"> = 1,2 · 1 · 1 · 0,4 · 3 · 1 / 3600 · 1 = 0,0004 г/с;</w:t>
      </w:r>
    </w:p>
    <w:p w:rsidR="008C4E0F" w:rsidRDefault="00203281">
      <w:pPr>
        <w:pStyle w:val="a3"/>
        <w:spacing w:line="240" w:lineRule="auto"/>
      </w:pPr>
      <w:proofErr w:type="gramStart"/>
      <w:r>
        <w:rPr>
          <w:i/>
        </w:rPr>
        <w:t>M</w:t>
      </w:r>
      <w:proofErr w:type="gramEnd"/>
      <w:r>
        <w:rPr>
          <w:i/>
          <w:vertAlign w:val="subscript"/>
        </w:rPr>
        <w:t>П 2908</w:t>
      </w:r>
      <w:r>
        <w:rPr>
          <w:i/>
          <w:vertAlign w:val="superscript"/>
        </w:rPr>
        <w:t>4 м/с</w:t>
      </w:r>
      <w:r>
        <w:rPr>
          <w:i/>
        </w:rPr>
        <w:t xml:space="preserve"> = 1,2 · 1 · 1 · 0,4 · 3 · 1 / 3600 · 1 = 0,0004 г/с;</w:t>
      </w:r>
    </w:p>
    <w:p w:rsidR="008C4E0F" w:rsidRDefault="00203281">
      <w:pPr>
        <w:pStyle w:val="a3"/>
        <w:spacing w:line="240" w:lineRule="auto"/>
      </w:pPr>
      <w:proofErr w:type="gramStart"/>
      <w:r>
        <w:rPr>
          <w:i/>
        </w:rPr>
        <w:t>M</w:t>
      </w:r>
      <w:proofErr w:type="gramEnd"/>
      <w:r>
        <w:rPr>
          <w:i/>
          <w:vertAlign w:val="subscript"/>
        </w:rPr>
        <w:t>П 2908</w:t>
      </w:r>
      <w:r>
        <w:rPr>
          <w:i/>
          <w:vertAlign w:val="superscript"/>
        </w:rPr>
        <w:t>7 м/с</w:t>
      </w:r>
      <w:r>
        <w:rPr>
          <w:i/>
        </w:rPr>
        <w:t xml:space="preserve"> = 1,7 · 1 · 1 · 0,4 · 3 · 1 / 3600 · 1 = 0,0005667 г/с;</w:t>
      </w:r>
    </w:p>
    <w:p w:rsidR="008C4E0F" w:rsidRDefault="00203281">
      <w:pPr>
        <w:pStyle w:val="a3"/>
        <w:spacing w:line="240" w:lineRule="auto"/>
      </w:pPr>
      <w:r>
        <w:rPr>
          <w:i/>
        </w:rPr>
        <w:t>М</w:t>
      </w:r>
      <w:r>
        <w:rPr>
          <w:i/>
          <w:vertAlign w:val="subscript"/>
        </w:rPr>
        <w:t>ГП 2908</w:t>
      </w:r>
      <w:r>
        <w:rPr>
          <w:i/>
        </w:rPr>
        <w:t xml:space="preserve"> = 1,2 · 1 · 1 · 0,4 · 3 · 100 · 1 · 10⁻⁶ = 0,000144 т/год.</w:t>
      </w:r>
    </w:p>
    <w:p w:rsidR="008C4E0F" w:rsidRDefault="008C4E0F">
      <w:pPr>
        <w:pStyle w:val="a3"/>
        <w:spacing w:line="240" w:lineRule="auto"/>
      </w:pPr>
    </w:p>
    <w:p w:rsidR="008C4E0F" w:rsidRDefault="008C4E0F">
      <w:pPr>
        <w:pStyle w:val="a3"/>
      </w:pPr>
    </w:p>
    <w:sectPr w:rsidR="008C4E0F" w:rsidSect="00E507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0F"/>
    <w:rsid w:val="00203281"/>
    <w:rsid w:val="008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e.shilovskaya</dc:creator>
  <cp:lastModifiedBy>e.shilovskaya</cp:lastModifiedBy>
  <cp:revision>2</cp:revision>
  <dcterms:created xsi:type="dcterms:W3CDTF">2021-10-19T13:54:00Z</dcterms:created>
  <dcterms:modified xsi:type="dcterms:W3CDTF">2021-10-19T13:54:00Z</dcterms:modified>
</cp:coreProperties>
</file>