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E5" w:rsidRDefault="00767826">
      <w:pPr>
        <w:pStyle w:val="2"/>
        <w:ind w:firstLine="680"/>
      </w:pPr>
      <w:bookmarkStart w:id="0" w:name="_GoBack"/>
      <w:bookmarkEnd w:id="0"/>
      <w:r>
        <w:t xml:space="preserve"> Малярный участок </w:t>
      </w:r>
    </w:p>
    <w:p w:rsidR="003463E5" w:rsidRDefault="003463E5">
      <w:pPr>
        <w:pStyle w:val="a3"/>
        <w:spacing w:after="120" w:line="240" w:lineRule="auto"/>
      </w:pPr>
    </w:p>
    <w:p w:rsidR="003463E5" w:rsidRDefault="00767826">
      <w:pPr>
        <w:pStyle w:val="a3"/>
        <w:spacing w:after="120" w:line="240" w:lineRule="auto"/>
      </w:pPr>
      <w:r>
        <w:tab/>
      </w:r>
      <w:r>
        <w:t>При определении выделений(выбросов) загрязняющих веществ в атмосферу от технологических операций нанесения (сушки) лакокрасочных материалов используются расчётные методы с применением удельных показателей выделения загрязняющих веществ.</w:t>
      </w:r>
    </w:p>
    <w:p w:rsidR="003463E5" w:rsidRDefault="00767826">
      <w:pPr>
        <w:pStyle w:val="a3"/>
        <w:spacing w:after="120" w:line="240" w:lineRule="auto"/>
      </w:pPr>
      <w:r>
        <w:tab/>
      </w:r>
      <w:r>
        <w:t>Расчёт выделений(в</w:t>
      </w:r>
      <w:r>
        <w:t>ыбросов) загрязняющих веществ выполнен в соответствии с «Методикой расчёта выделений (выбросов) загрязняющих веществ в атмосферу при нанесении лакокрасочных материалов (на основе удельных показателей). СПб, 2015».</w:t>
      </w:r>
    </w:p>
    <w:p w:rsidR="003463E5" w:rsidRDefault="00767826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</w:t>
      </w:r>
      <w:r>
        <w:t>ка загрязняющих веществ, выбрасываемых до и после очистки, приведена в таблице 1.</w:t>
      </w:r>
    </w:p>
    <w:p w:rsidR="003463E5" w:rsidRDefault="00767826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3463E5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3463E5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3463E5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  <w:tc>
          <w:tcPr>
            <w:tcW w:w="3458" w:type="dxa"/>
          </w:tcPr>
          <w:p w:rsidR="003463E5" w:rsidRDefault="00767826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Бутилцеллозольв</w:t>
            </w:r>
            <w:proofErr w:type="spellEnd"/>
            <w:r>
              <w:rPr>
                <w:sz w:val="20"/>
              </w:rPr>
              <w:t xml:space="preserve"> (2-Бутоксиэтанол)</w:t>
            </w:r>
          </w:p>
        </w:tc>
        <w:tc>
          <w:tcPr>
            <w:tcW w:w="1134" w:type="dxa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0,2777778</w:t>
            </w:r>
          </w:p>
        </w:tc>
        <w:tc>
          <w:tcPr>
            <w:tcW w:w="1134" w:type="dxa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680" w:type="dxa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0,2777778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3463E5" w:rsidRDefault="0076782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</w:tbl>
    <w:p w:rsidR="003463E5" w:rsidRDefault="00767826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:rsidR="003463E5" w:rsidRDefault="00767826">
      <w:pPr>
        <w:pStyle w:val="a3"/>
        <w:spacing w:before="240"/>
      </w:pPr>
      <w:r>
        <w:tab/>
      </w:r>
      <w:r>
        <w:t>Исходные данные для расчё</w:t>
      </w:r>
      <w:r>
        <w:t>та выделений(выбросов) загрязняющих веществ приведены в таблице 2.</w:t>
      </w:r>
    </w:p>
    <w:p w:rsidR="003463E5" w:rsidRDefault="00767826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3463E5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463E5" w:rsidRDefault="00767826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3463E5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463E5" w:rsidRDefault="003463E5">
            <w:pPr>
              <w:pStyle w:val="10"/>
              <w:jc w:val="center"/>
            </w:pPr>
          </w:p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463E5" w:rsidRDefault="00767826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463E5" w:rsidRDefault="00767826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3463E5" w:rsidRDefault="00767826">
            <w:pPr>
              <w:pStyle w:val="10"/>
              <w:jc w:val="center"/>
            </w:pPr>
            <w:r>
              <w:t>значение</w:t>
            </w:r>
          </w:p>
        </w:tc>
      </w:tr>
      <w:tr w:rsidR="003463E5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left"/>
            </w:pPr>
            <w:r>
              <w:rPr>
                <w:b/>
              </w:rPr>
              <w:t>ИВ №000003. Растворитель Ксилол</w:t>
            </w: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center"/>
            </w:pPr>
            <w:r>
              <w:t>кг/год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center"/>
            </w:pPr>
            <w:r>
              <w:t>1</w:t>
            </w: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 xml:space="preserve">Доля летучей части в лакокрасочном материале, </w:t>
            </w:r>
            <w:proofErr w:type="spellStart"/>
            <w:r>
              <w:rPr>
                <w:b/>
                <w:i/>
              </w:rPr>
              <w:t>ƒр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center"/>
            </w:pPr>
            <w:r>
              <w:t>100</w:t>
            </w: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 xml:space="preserve">Пары растворителя, выделяющиеся при окраске, </w:t>
            </w:r>
            <w:proofErr w:type="spellStart"/>
            <w:r>
              <w:rPr>
                <w:b/>
                <w:i/>
              </w:rPr>
              <w:t>δ'р</w:t>
            </w:r>
            <w:proofErr w:type="spellEnd"/>
            <w:r>
              <w:rPr>
                <w:b/>
                <w:i/>
                <w:vertAlign w:val="subscript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center"/>
            </w:pPr>
            <w:r>
              <w:t>1</w:t>
            </w: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 xml:space="preserve">Масса ЛКМ, расходуемая на выполнение окрасочных работ,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center"/>
            </w:pPr>
            <w:r>
              <w:t>кг/ч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center"/>
            </w:pPr>
            <w:r>
              <w:t>1</w:t>
            </w: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 xml:space="preserve">Масса покрытия ЛКМ, высушиваемая за 1 час, </w:t>
            </w:r>
            <w:proofErr w:type="spellStart"/>
            <w:r>
              <w:rPr>
                <w:b/>
                <w:i/>
              </w:rPr>
              <w:t>Рс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center"/>
            </w:pPr>
            <w:r>
              <w:t>кг/ч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center"/>
            </w:pPr>
            <w:r>
              <w:t>1</w:t>
            </w: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 xml:space="preserve">Общая продолжительность операции нанесения ЛКМ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center"/>
            </w:pPr>
            <w:r>
              <w:t>час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center"/>
            </w:pPr>
            <w:r>
              <w:t>1</w:t>
            </w: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 xml:space="preserve">Общая продолжительность операции сушки ЛКМ за год, </w:t>
            </w:r>
            <w:proofErr w:type="spellStart"/>
            <w:r>
              <w:rPr>
                <w:b/>
                <w:i/>
              </w:rPr>
              <w:t>Tс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center"/>
            </w:pPr>
            <w:r>
              <w:t>час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center"/>
            </w:pPr>
            <w:r>
              <w:t>1</w:t>
            </w: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>Содержание компонента i-</w:t>
            </w:r>
            <w:proofErr w:type="spellStart"/>
            <w:r>
              <w:t>го</w:t>
            </w:r>
            <w:proofErr w:type="spellEnd"/>
            <w:r>
              <w:t xml:space="preserve"> ЗВ в летучей части, </w:t>
            </w:r>
            <w:proofErr w:type="spellStart"/>
            <w:r>
              <w:rPr>
                <w:b/>
                <w:i/>
              </w:rPr>
              <w:t>δ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3463E5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3463E5">
            <w:pPr>
              <w:pStyle w:val="10"/>
              <w:jc w:val="center"/>
            </w:pPr>
          </w:p>
        </w:tc>
      </w:tr>
      <w:tr w:rsidR="003463E5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E5" w:rsidRDefault="003463E5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left"/>
            </w:pPr>
            <w:r>
              <w:t xml:space="preserve">    1140. </w:t>
            </w:r>
            <w:proofErr w:type="spellStart"/>
            <w:r>
              <w:t>Бутилцеллозольв</w:t>
            </w:r>
            <w:proofErr w:type="spellEnd"/>
            <w:r>
              <w:t xml:space="preserve"> (2-Бутоксиэтанол)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E5" w:rsidRDefault="00767826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E5" w:rsidRDefault="00767826">
            <w:pPr>
              <w:pStyle w:val="10"/>
              <w:jc w:val="center"/>
            </w:pPr>
            <w:r>
              <w:t>100</w:t>
            </w:r>
          </w:p>
        </w:tc>
      </w:tr>
      <w:tr w:rsidR="003463E5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E5" w:rsidRDefault="003463E5"/>
        </w:tc>
      </w:tr>
    </w:tbl>
    <w:p w:rsidR="003463E5" w:rsidRDefault="00767826">
      <w:pPr>
        <w:pStyle w:val="a3"/>
        <w:spacing w:before="240"/>
      </w:pPr>
      <w:r>
        <w:tab/>
      </w:r>
      <w:r>
        <w:t>Принятые условные обозначения, расчётные формулы, а также расчётные параметры и их обоснование приведены ниже.</w:t>
      </w:r>
    </w:p>
    <w:p w:rsidR="003463E5" w:rsidRDefault="00767826">
      <w:pPr>
        <w:pStyle w:val="a3"/>
        <w:spacing w:before="240"/>
      </w:pPr>
      <w:r>
        <w:tab/>
      </w:r>
      <w:r>
        <w:t xml:space="preserve">Максимально разовое значение мощности выделения летучих веществ при </w:t>
      </w:r>
      <w:proofErr w:type="gramStart"/>
      <w:r>
        <w:t>окраске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t>, г/с), определяется по формуле (1):</w:t>
      </w:r>
    </w:p>
    <w:p w:rsidR="003463E5" w:rsidRDefault="00767826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δ’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·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· (1</w:t>
      </w:r>
      <w:r>
        <w:rPr>
          <w:i/>
        </w:rPr>
        <w:t>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/ (1000 · 3600)</w:t>
      </w:r>
      <w:r>
        <w:rPr>
          <w:b/>
          <w:i/>
          <w:vertAlign w:val="subscript"/>
        </w:rPr>
        <w:t xml:space="preserve"> </w:t>
      </w:r>
      <w:r>
        <w:tab/>
      </w:r>
      <w:r>
        <w:t>(1)</w:t>
      </w:r>
    </w:p>
    <w:p w:rsidR="003463E5" w:rsidRDefault="00767826">
      <w:pPr>
        <w:pStyle w:val="a3"/>
      </w:pPr>
      <w:r>
        <w:t xml:space="preserve">где </w:t>
      </w:r>
      <w:proofErr w:type="gramStart"/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масса ЛКМ, расходуемая на выполнение окрасочных работ, кг/час;</w:t>
      </w:r>
    </w:p>
    <w:p w:rsidR="003463E5" w:rsidRDefault="00767826">
      <w:pPr>
        <w:pStyle w:val="a3"/>
      </w:pPr>
      <w:proofErr w:type="spellStart"/>
      <w:r>
        <w:rPr>
          <w:b/>
          <w:i/>
        </w:rPr>
        <w:t>δ’</w:t>
      </w:r>
      <w:proofErr w:type="gramStart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пары растворителя, выделяющиеся при окраске, %;</w:t>
      </w:r>
    </w:p>
    <w:p w:rsidR="003463E5" w:rsidRDefault="00767826">
      <w:pPr>
        <w:pStyle w:val="a3"/>
      </w:pPr>
      <w:proofErr w:type="spellStart"/>
      <w:r>
        <w:rPr>
          <w:b/>
          <w:i/>
        </w:rPr>
        <w:t>ƒ</w:t>
      </w:r>
      <w:proofErr w:type="gramStart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доля летучей части в лакокрасочном материале, %;</w:t>
      </w:r>
    </w:p>
    <w:p w:rsidR="003463E5" w:rsidRDefault="00767826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3463E5" w:rsidRDefault="00767826">
      <w:pPr>
        <w:pStyle w:val="a3"/>
      </w:pPr>
      <w:r>
        <w:rPr>
          <w:b/>
          <w:i/>
        </w:rPr>
        <w:t>η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степень улавливания красочного аэрозоля в установке очистки газов, в долях единицы.</w:t>
      </w:r>
    </w:p>
    <w:p w:rsidR="003463E5" w:rsidRDefault="00767826">
      <w:pPr>
        <w:pStyle w:val="a3"/>
      </w:pPr>
      <w:proofErr w:type="spellStart"/>
      <w:r>
        <w:rPr>
          <w:b/>
          <w:i/>
        </w:rPr>
        <w:lastRenderedPageBreak/>
        <w:t>δ</w:t>
      </w:r>
      <w:proofErr w:type="gramStart"/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содержание компонента i-</w:t>
      </w:r>
      <w:proofErr w:type="spellStart"/>
      <w:r>
        <w:t>го</w:t>
      </w:r>
      <w:proofErr w:type="spellEnd"/>
      <w:r>
        <w:t xml:space="preserve"> ЗВ в летучей части ЛКМ, %.</w:t>
      </w:r>
    </w:p>
    <w:p w:rsidR="003463E5" w:rsidRDefault="003463E5">
      <w:pPr>
        <w:pStyle w:val="a3"/>
      </w:pPr>
    </w:p>
    <w:p w:rsidR="003463E5" w:rsidRDefault="00767826">
      <w:pPr>
        <w:pStyle w:val="a3"/>
        <w:spacing w:before="240"/>
      </w:pPr>
      <w:r>
        <w:tab/>
      </w:r>
      <w:r>
        <w:t>Максимально разовое значение мощности выделения летуч</w:t>
      </w:r>
      <w:r>
        <w:t xml:space="preserve">их веществ при </w:t>
      </w:r>
      <w:proofErr w:type="gramStart"/>
      <w:r>
        <w:t>сушке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bscript"/>
        </w:rPr>
        <w:t>Ci</w:t>
      </w:r>
      <w:proofErr w:type="spellEnd"/>
      <w:r>
        <w:t>, г/с), определяется по формуле (2):</w:t>
      </w:r>
    </w:p>
    <w:p w:rsidR="003463E5" w:rsidRDefault="00767826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Ci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C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δ”</w:t>
      </w:r>
      <w:r>
        <w:rPr>
          <w:b/>
          <w:i/>
          <w:vertAlign w:val="subscript"/>
        </w:rPr>
        <w:t>Р</w:t>
      </w:r>
      <w:proofErr w:type="spellEnd"/>
      <w:proofErr w:type="gramEnd"/>
      <w:r>
        <w:rPr>
          <w:i/>
        </w:rPr>
        <w:t xml:space="preserve"> ·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/ (1000 · 3600)</w:t>
      </w:r>
      <w:r>
        <w:rPr>
          <w:b/>
          <w:i/>
          <w:vertAlign w:val="subscript"/>
        </w:rPr>
        <w:t xml:space="preserve"> </w:t>
      </w:r>
      <w:r>
        <w:tab/>
      </w:r>
      <w:r>
        <w:t>(2)</w:t>
      </w:r>
    </w:p>
    <w:p w:rsidR="003463E5" w:rsidRDefault="00767826">
      <w:pPr>
        <w:pStyle w:val="a3"/>
      </w:pPr>
      <w:r>
        <w:t xml:space="preserve">где </w:t>
      </w:r>
      <w:r>
        <w:rPr>
          <w:b/>
          <w:i/>
        </w:rPr>
        <w:t>P</w:t>
      </w:r>
      <w:proofErr w:type="gramStart"/>
      <w:r>
        <w:rPr>
          <w:b/>
          <w:i/>
          <w:vertAlign w:val="subscript"/>
        </w:rPr>
        <w:t>С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масса покрытия ЛКМ, высушиваемого за 1 час, кг/час;</w:t>
      </w:r>
    </w:p>
    <w:p w:rsidR="003463E5" w:rsidRDefault="00767826">
      <w:pPr>
        <w:pStyle w:val="a3"/>
      </w:pPr>
      <w:proofErr w:type="spellStart"/>
      <w:proofErr w:type="gramStart"/>
      <w:r>
        <w:rPr>
          <w:b/>
          <w:i/>
        </w:rPr>
        <w:t>δ”</w:t>
      </w:r>
      <w:r>
        <w:rPr>
          <w:b/>
          <w:i/>
          <w:vertAlign w:val="subscript"/>
        </w:rPr>
        <w:t>Р</w:t>
      </w:r>
      <w:proofErr w:type="spellEnd"/>
      <w:proofErr w:type="gramEnd"/>
      <w:r>
        <w:rPr>
          <w:b/>
          <w:i/>
        </w:rPr>
        <w:t xml:space="preserve"> </w:t>
      </w:r>
      <w:r>
        <w:t xml:space="preserve"> – пары растворителя, выделяющиеся при сушке, %;</w:t>
      </w:r>
    </w:p>
    <w:p w:rsidR="003463E5" w:rsidRDefault="00767826">
      <w:pPr>
        <w:pStyle w:val="a3"/>
      </w:pPr>
      <w:proofErr w:type="spellStart"/>
      <w:r>
        <w:rPr>
          <w:b/>
          <w:i/>
        </w:rPr>
        <w:t>ƒ</w:t>
      </w:r>
      <w:proofErr w:type="gramStart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доля </w:t>
      </w:r>
      <w:r>
        <w:t>летучей части в лакокрасочном материале, %;</w:t>
      </w:r>
    </w:p>
    <w:p w:rsidR="003463E5" w:rsidRDefault="00767826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3463E5" w:rsidRDefault="00767826">
      <w:pPr>
        <w:pStyle w:val="a3"/>
      </w:pPr>
      <w:r>
        <w:rPr>
          <w:b/>
          <w:i/>
        </w:rPr>
        <w:t>η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степень улавливания красочного аэрозоля в установке очистки газов, в долях единицы.</w:t>
      </w:r>
    </w:p>
    <w:p w:rsidR="003463E5" w:rsidRDefault="00767826">
      <w:pPr>
        <w:pStyle w:val="a3"/>
      </w:pPr>
      <w:proofErr w:type="spellStart"/>
      <w:r>
        <w:rPr>
          <w:b/>
          <w:i/>
        </w:rPr>
        <w:t>δ</w:t>
      </w:r>
      <w:proofErr w:type="gramStart"/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содержание компонента i-</w:t>
      </w:r>
      <w:proofErr w:type="spellStart"/>
      <w:r>
        <w:t>го</w:t>
      </w:r>
      <w:proofErr w:type="spellEnd"/>
      <w:r>
        <w:t xml:space="preserve"> ЗВ в летучей части ЛКМ, %.</w:t>
      </w:r>
    </w:p>
    <w:p w:rsidR="003463E5" w:rsidRDefault="003463E5">
      <w:pPr>
        <w:pStyle w:val="a3"/>
      </w:pPr>
    </w:p>
    <w:p w:rsidR="003463E5" w:rsidRDefault="00767826">
      <w:pPr>
        <w:pStyle w:val="a3"/>
        <w:spacing w:before="240"/>
      </w:pPr>
      <w:r>
        <w:tab/>
      </w:r>
      <w:r>
        <w:t>Валовой</w:t>
      </w:r>
      <w:r>
        <w:t xml:space="preserve"> (годовой) выброс летучих веществ при проведении окрасочных </w:t>
      </w:r>
      <w:proofErr w:type="gramStart"/>
      <w:r>
        <w:t>работ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Оi</w:t>
      </w:r>
      <w:proofErr w:type="spellEnd"/>
      <w:r>
        <w:t>, т/год), определяется по формуле (3):</w:t>
      </w:r>
    </w:p>
    <w:p w:rsidR="003463E5" w:rsidRDefault="00767826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(3)</w:t>
      </w:r>
    </w:p>
    <w:p w:rsidR="003463E5" w:rsidRDefault="00767826">
      <w:pPr>
        <w:pStyle w:val="a3"/>
        <w:jc w:val="left"/>
      </w:pPr>
      <w:r>
        <w:t xml:space="preserve">где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</w:t>
      </w:r>
      <w:proofErr w:type="gramStart"/>
      <w:r>
        <w:t>вещества,  г</w:t>
      </w:r>
      <w:proofErr w:type="gramEnd"/>
      <w:r>
        <w:t>/с;</w:t>
      </w:r>
    </w:p>
    <w:p w:rsidR="003463E5" w:rsidRDefault="00767826">
      <w:pPr>
        <w:pStyle w:val="a3"/>
        <w:jc w:val="left"/>
      </w:pPr>
      <w:r>
        <w:rPr>
          <w:b/>
          <w:i/>
        </w:rPr>
        <w:t>T</w:t>
      </w:r>
      <w:r>
        <w:t xml:space="preserve"> – общая продолжительность операции нанесения ЛКМ за </w:t>
      </w:r>
      <w:proofErr w:type="gramStart"/>
      <w:r>
        <w:t>год,  час</w:t>
      </w:r>
      <w:proofErr w:type="gramEnd"/>
      <w:r>
        <w:t>.</w:t>
      </w:r>
    </w:p>
    <w:p w:rsidR="003463E5" w:rsidRDefault="003463E5">
      <w:pPr>
        <w:pStyle w:val="a3"/>
      </w:pPr>
    </w:p>
    <w:p w:rsidR="003463E5" w:rsidRDefault="00767826">
      <w:pPr>
        <w:pStyle w:val="a3"/>
        <w:spacing w:before="240"/>
        <w:ind w:firstLine="624"/>
      </w:pPr>
      <w:r>
        <w:t>Валовой (годовой) выброс летучих веществ при сушке</w:t>
      </w:r>
      <w:proofErr w:type="gramStart"/>
      <w:r>
        <w:t xml:space="preserve"> 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Сi</w:t>
      </w:r>
      <w:proofErr w:type="spellEnd"/>
      <w:r>
        <w:t>, т/год), определяется по формуле (4):</w:t>
      </w:r>
    </w:p>
    <w:p w:rsidR="003463E5" w:rsidRDefault="00767826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Сi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Сi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b/>
          <w:i/>
          <w:vertAlign w:val="subscript"/>
        </w:rPr>
        <w:t>С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(4)</w:t>
      </w:r>
    </w:p>
    <w:p w:rsidR="003463E5" w:rsidRDefault="00767826">
      <w:pPr>
        <w:pStyle w:val="a3"/>
        <w:jc w:val="left"/>
      </w:pPr>
      <w:r>
        <w:t xml:space="preserve">где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Сi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</w:t>
      </w:r>
      <w:proofErr w:type="gramStart"/>
      <w:r>
        <w:t>ве</w:t>
      </w:r>
      <w:r>
        <w:t>щества,  г</w:t>
      </w:r>
      <w:proofErr w:type="gramEnd"/>
      <w:r>
        <w:t>/с;</w:t>
      </w:r>
    </w:p>
    <w:p w:rsidR="003463E5" w:rsidRDefault="00767826">
      <w:pPr>
        <w:pStyle w:val="a3"/>
        <w:jc w:val="left"/>
      </w:pPr>
      <w:r>
        <w:rPr>
          <w:b/>
          <w:i/>
        </w:rPr>
        <w:t>T</w:t>
      </w:r>
      <w:r>
        <w:rPr>
          <w:b/>
          <w:i/>
          <w:vertAlign w:val="subscript"/>
        </w:rPr>
        <w:t>C</w:t>
      </w:r>
      <w:r>
        <w:t xml:space="preserve"> – общая продолжительность операции сушки ЛКМ за </w:t>
      </w:r>
      <w:proofErr w:type="gramStart"/>
      <w:r>
        <w:t>год,  час</w:t>
      </w:r>
      <w:proofErr w:type="gramEnd"/>
      <w:r>
        <w:t>.</w:t>
      </w:r>
    </w:p>
    <w:p w:rsidR="003463E5" w:rsidRDefault="003463E5">
      <w:pPr>
        <w:pStyle w:val="a3"/>
      </w:pPr>
    </w:p>
    <w:p w:rsidR="003463E5" w:rsidRDefault="00767826">
      <w:pPr>
        <w:pStyle w:val="a3"/>
      </w:pPr>
      <w:r>
        <w:tab/>
      </w:r>
      <w:r>
        <w:t>Расчёт годового и максимально разового выделения (выброса) загрязняющих веществ в атмосферу приведен ниже.</w:t>
      </w:r>
    </w:p>
    <w:p w:rsidR="003463E5" w:rsidRDefault="00767826">
      <w:pPr>
        <w:pStyle w:val="a3"/>
        <w:spacing w:before="120"/>
        <w:jc w:val="left"/>
      </w:pPr>
      <w:r>
        <w:rPr>
          <w:u w:val="single"/>
        </w:rPr>
        <w:t>ИВ №000003. Растворитель Ксилол</w:t>
      </w:r>
    </w:p>
    <w:p w:rsidR="003463E5" w:rsidRDefault="0076782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1140</w:t>
      </w:r>
      <w:r>
        <w:rPr>
          <w:i/>
        </w:rPr>
        <w:t xml:space="preserve"> = 1 · 1 · 100 · 1 · 100 / (1000</w:t>
      </w:r>
      <w:r>
        <w:rPr>
          <w:i/>
        </w:rPr>
        <w:t xml:space="preserve"> · 3600) = 0,0027778 г/с;</w:t>
      </w:r>
    </w:p>
    <w:p w:rsidR="003463E5" w:rsidRDefault="0076782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1140</w:t>
      </w:r>
      <w:r>
        <w:rPr>
          <w:i/>
        </w:rPr>
        <w:t xml:space="preserve"> = 0,0027778 · 1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0,00001 т/год.</w:t>
      </w:r>
    </w:p>
    <w:p w:rsidR="003463E5" w:rsidRDefault="0076782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1140</w:t>
      </w:r>
      <w:r>
        <w:rPr>
          <w:i/>
        </w:rPr>
        <w:t xml:space="preserve"> = 1 · 99 · 100 · 1 · 100 / (1000 · 3600) = 0,275 г/с;</w:t>
      </w:r>
    </w:p>
    <w:p w:rsidR="003463E5" w:rsidRDefault="00767826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1140</w:t>
      </w:r>
      <w:r>
        <w:rPr>
          <w:i/>
        </w:rPr>
        <w:t xml:space="preserve"> = 0,275 · 1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0,000991 т/год.</w:t>
      </w:r>
    </w:p>
    <w:p w:rsidR="003463E5" w:rsidRDefault="003463E5">
      <w:pPr>
        <w:pStyle w:val="a3"/>
      </w:pPr>
    </w:p>
    <w:sectPr w:rsidR="003463E5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3E5"/>
    <w:rsid w:val="003463E5"/>
    <w:rsid w:val="007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0A405-7947-4639-8929-A78FA56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2023-01-11T05:52:00Z</dcterms:created>
  <dcterms:modified xsi:type="dcterms:W3CDTF">2023-01-11T05:52:00Z</dcterms:modified>
</cp:coreProperties>
</file>