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b3cb585014aa8" /></Relationships>
</file>

<file path=word/document.xml><?xml version="1.0" encoding="utf-8"?>
<w:document xmlns:w="http://schemas.openxmlformats.org/wordprocessingml/2006/main">
  <w:body>
    <w:p>
      <w:pPr>
        <w:pStyle w:val="3"/>
      </w:pPr>
      <w:r>
        <w:t xml:space="preserve">Расчёт класса опасности отхода по степени негативного воздействия на окружающую среду</w:t>
      </w:r>
    </w:p>
    <w:p>
      <w:pPr>
        <w:pStyle w:val="a3"/>
      </w:pPr>
    </w:p>
    <w:p>
      <w:pPr>
        <w:pStyle w:val="a3"/>
        <w:spacing w:line="360"/>
      </w:pPr>
      <w:r>
        <w:t xml:space="preserve">Код отхода по ФККО: </w:t>
      </w:r>
      <w:r>
        <w:rPr>
          <w:vertAlign w:val="baseline"/>
          <w:b/>
        </w:rPr>
        <w:t>4 62 110 01 51 3.</w:t>
      </w:r>
    </w:p>
    <w:p>
      <w:pPr>
        <w:pStyle w:val="a3"/>
      </w:pPr>
      <w:r>
        <w:t xml:space="preserve">Наименование отхода: </w:t>
      </w:r>
      <w:r>
        <w:rPr>
          <w:vertAlign w:val="baseline"/>
          <w:b/>
        </w:rPr>
        <w:t>лом и отходы медных изделий без покрытий незагрязненные.</w:t>
      </w:r>
    </w:p>
    <w:p>
      <w:pPr>
        <w:pStyle w:val="a3"/>
      </w:pPr>
    </w:p>
    <w:p>
      <w:pPr>
        <w:pStyle w:val="a3"/>
      </w:pPr>
      <w:r>
        <w:t xml:space="preserve">Расчёт выполнен в соответствии с «Критериями отнесения опасных отходов к классу опасности для окружающей природной среды», утверждёнными приказом МПР России от 04 декабря 2014 г. № 536.</w:t>
      </w:r>
    </w:p>
    <w:p>
      <w:pPr>
        <w:pStyle w:val="p_normal_eco"/>
        <w:jc w:val="center"/>
        <w:spacing w:before="240" w:after="120"/>
      </w:pPr>
      <w:r>
        <w:rPr>
          <w:b/>
        </w:rPr>
        <w:t xml:space="preserve">Компонентный состав отхода</w:t>
      </w:r>
    </w:p>
    <w:tbl>
      <w:tblPr xmlns:w="http://schemas.openxmlformats.org/wordprocessingml/2006/main">
        <w:tblStyle w:val="ReportTable2"/>
        <w:tblW w:w="9638" w:type="dxa"/>
        <w:tblLayout w:type="fixed"/>
        <w:tblLook w:val="04A0"/>
      </w:tblPr>
      <w:tblGrid xmlns:w="http://schemas.openxmlformats.org/wordprocessingml/2006/main">
        <w:gridCol w:w="675"/>
        <w:gridCol w:w="4201"/>
        <w:gridCol w:w="1417"/>
        <w:gridCol w:w="1814"/>
        <w:gridCol w:w="1531"/>
      </w:tblGrid>
      <w:tr>
        <w:trPr>
          <w:cantSplit/>
          <w:tblHeader/>
        </w:trPr>
        <w:tc>
          <w:tcPr>
            <w:tcW w:w="67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№ п/п</w:t>
            </w:r>
          </w:p>
        </w:tc>
        <w:tc>
          <w:tcPr>
            <w:tcW w:w="420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Наименование компонента</w:t>
            </w: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Концентрация компонентов отхода, </w:t>
            </w:r>
          </w:p>
          <w:p>
            <w:pPr>
              <w:pStyle w:val="p_normal_eco"/>
              <w:jc w:val="center"/>
            </w:pPr>
            <w:r>
              <w:rPr>
                <w:vertAlign w:val="baseline"/>
                <w:b/>
              </w:rPr>
              <w:t>C</w:t>
            </w:r>
            <w:r>
              <w:rPr>
                <w:vertAlign w:val="subscript"/>
                <w:b/>
              </w:rPr>
              <w:t>i</w:t>
            </w:r>
            <w:r>
              <w:rPr>
                <w:vertAlign w:val="baseline"/>
              </w:rPr>
              <w:t>, мг/кг</w:t>
            </w:r>
          </w:p>
        </w:tc>
        <w:tc>
          <w:tcPr>
            <w:tcW w:w="1814" w:type="dxa"/>
            <w:tcBorders>
              <w:top w:val="single" w:color="auto" w:sz="8" w:space="0"/>
              <w:right w:val="single" w:color="auto" w:sz="6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rPr>
                <w:vertAlign w:val="baseline"/>
              </w:rPr>
              <w:t xml:space="preserve">Коэффициент степени опасности компонента отхода, </w:t>
            </w:r>
            <w:r>
              <w:rPr>
                <w:vertAlign w:val="baseline"/>
                <w:b/>
              </w:rPr>
              <w:t>W</w:t>
            </w:r>
            <w:r>
              <w:rPr>
                <w:vertAlign w:val="subscript"/>
                <w:b/>
              </w:rPr>
              <w:t>i</w:t>
            </w:r>
            <w:r>
              <w:rPr>
                <w:vertAlign w:val="baseline"/>
              </w:rPr>
              <w:t>, мг/кг</w:t>
            </w:r>
          </w:p>
        </w:tc>
        <w:tc>
          <w:tcPr>
            <w:tcW w:w="1531" w:type="dxa"/>
            <w:tcBorders>
              <w:top w:val="single" w:color="auto" w:sz="8" w:space="0"/>
              <w:right w:val="single" w:color="auto" w:sz="6" w:space="0"/>
              <w:bottom w:val="single" w:color="auto" w:sz="8" w:space="0"/>
            </w:tcBorders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Показатель степени опас</w:t>
            </w:r>
            <w:r>
              <w:softHyphen/>
              <w:t xml:space="preserve">ности отхода, </w:t>
            </w:r>
          </w:p>
          <w:p>
            <w:pPr>
              <w:pStyle w:val="p_normal_eco"/>
              <w:jc w:val="center"/>
            </w:pPr>
            <w:r>
              <w:rPr>
                <w:vertAlign w:val="baseline"/>
                <w:b/>
              </w:rPr>
              <w:t>K</w:t>
            </w:r>
            <w:r>
              <w:rPr>
                <w:vertAlign w:val="subscript"/>
                <w:b/>
              </w:rPr>
              <w:t>i</w:t>
            </w:r>
            <w:r>
              <w:rPr>
                <w:vertAlign w:val="baseline"/>
              </w:rPr>
              <w:t xml:space="preserve"> (K</w:t>
            </w:r>
            <w:r>
              <w:rPr>
                <w:vertAlign w:val="subscript"/>
              </w:rPr>
              <w:t>i</w:t>
            </w:r>
            <w:r>
              <w:rPr>
                <w:vertAlign w:val="baseline"/>
              </w:rPr>
              <w:t xml:space="preserve"> = C</w:t>
            </w:r>
            <w:r>
              <w:rPr>
                <w:vertAlign w:val="subscript"/>
              </w:rPr>
              <w:t>i</w:t>
            </w:r>
            <w:r>
              <w:rPr>
                <w:vertAlign w:val="baseline"/>
              </w:rPr>
              <w:t>/W</w:t>
            </w:r>
            <w:r>
              <w:rPr>
                <w:vertAlign w:val="subscript"/>
              </w:rPr>
              <w:t>i</w:t>
            </w:r>
            <w:r>
              <w:rPr>
                <w:vertAlign w:val="baseline"/>
              </w:rPr>
              <w:t>)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1</w:t>
            </w:r>
          </w:p>
        </w:tc>
        <w:tc>
          <w:tcPr>
            <w:tcW w:w="4201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Медь</w:t>
            </w:r>
          </w:p>
        </w:tc>
        <w:tc>
          <w:tcPr>
            <w:tcW w:w="1417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1000000</w:t>
            </w:r>
          </w:p>
        </w:tc>
        <w:tc>
          <w:tcPr>
            <w:tcW w:w="1814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1668,101</w:t>
            </w:r>
          </w:p>
        </w:tc>
        <w:tc>
          <w:tcPr>
            <w:tcW w:w="1531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599,484</w:t>
            </w:r>
          </w:p>
        </w:tc>
      </w:tr>
      <w:tr>
        <w:tc>
          <w:tcPr>
            <w:tcW w:w="4876" w:type="dxa"/>
            <w:gridSpan w:val="2"/>
            <w:tcBorders>
              <w:left w:val="single" w:color="auto" w:sz="6" w:space="0"/>
              <w:bottom w:val="single" w:color="auto" w:sz="4" w:space="0"/>
            </w:tcBorders>
          </w:tcPr>
          <w:p>
            <w:pPr>
              <w:pStyle w:val="p_normal_eco"/>
            </w:pPr>
            <w:r>
              <w:rPr>
                <w:b/>
              </w:rPr>
              <w:t xml:space="preserve">Итого: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p_normal_eco"/>
              <w:jc w:val="center"/>
            </w:pPr>
            <w:r>
              <w:rPr>
                <w:b/>
              </w:rPr>
              <w:t xml:space="preserve">1000000</w:t>
            </w:r>
          </w:p>
        </w:tc>
        <w:tc>
          <w:tcPr>
            <w:tcW w:w="1814" w:type="dxa"/>
            <w:tcBorders>
              <w:right w:val="single" w:color="auto" w:sz="6" w:space="0"/>
              <w:bottom w:val="single" w:color="auto" w:sz="4" w:space="0"/>
            </w:tcBorders>
          </w:tcPr>
          <w:p>
            <w:pPr>
              <w:pStyle w:val="p_normal_eco"/>
              <w:jc w:val="center"/>
            </w:pPr>
            <w:r>
              <w:rPr>
                <w:b/>
              </w:rPr>
              <w:t xml:space="preserve">-</w:t>
            </w:r>
          </w:p>
        </w:tc>
        <w:tc>
          <w:tcPr>
            <w:tcW w:w="1531" w:type="dxa"/>
            <w:tcBorders>
              <w:right w:val="single" w:color="auto" w:sz="6" w:space="0"/>
              <w:bottom w:val="single" w:color="auto" w:sz="4" w:space="0"/>
            </w:tcBorders>
          </w:tcPr>
          <w:p>
            <w:pPr>
              <w:pStyle w:val="p_normal_eco"/>
              <w:jc w:val="center"/>
            </w:pPr>
            <w:r>
              <w:rPr>
                <w:b/>
              </w:rPr>
              <w:t xml:space="preserve">599,484</w:t>
            </w:r>
          </w:p>
        </w:tc>
      </w:tr>
    </w:tbl>
    <w:p>
      <w:pPr>
        <w:pStyle w:val="a3"/>
      </w:pPr>
    </w:p>
    <w:p>
      <w:pPr>
        <w:pStyle w:val="a3"/>
      </w:pPr>
      <w:r>
        <w:t xml:space="preserve">Показатель степени опасности отхода </w:t>
      </w:r>
      <w:r>
        <w:rPr>
          <w:vertAlign w:val="baseline"/>
          <w:b/>
        </w:rPr>
        <w:t>K = 599,484</w:t>
      </w:r>
      <w:r>
        <w:rPr>
          <w:vertAlign w:val="baseline"/>
        </w:rPr>
        <w:t xml:space="preserve"> удовлетворяет соотношению </w:t>
      </w:r>
      <w:r>
        <w:rPr>
          <w:vertAlign w:val="baseline"/>
        </w:rPr>
        <w:t>10</w:t>
      </w:r>
      <w:r>
        <w:rPr>
          <w:vertAlign w:val="superscript"/>
        </w:rPr>
        <w:t>3</w:t>
      </w:r>
      <w:r>
        <w:rPr>
          <w:vertAlign w:val="baseline"/>
        </w:rPr>
        <w:t xml:space="preserve"> ≥ </w:t>
      </w:r>
      <w:r>
        <w:rPr>
          <w:vertAlign w:val="baseline"/>
          <w:b/>
        </w:rPr>
        <w:t>K</w:t>
      </w:r>
      <w:r>
        <w:rPr>
          <w:vertAlign w:val="baseline"/>
        </w:rPr>
        <w:t xml:space="preserve"> &gt; </w:t>
      </w:r>
      <w:r>
        <w:rPr>
          <w:vertAlign w:val="baseline"/>
        </w:rPr>
        <w:t>10</w:t>
      </w:r>
      <w:r>
        <w:rPr>
          <w:vertAlign w:val="superscript"/>
        </w:rPr>
        <w:t>2</w:t>
      </w:r>
      <w:r>
        <w:rPr>
          <w:vertAlign w:val="baseline"/>
        </w:rPr>
        <w:t xml:space="preserve">, что позволяет отнести отход к классу опасности: </w:t>
      </w:r>
      <w:r>
        <w:rPr>
          <w:vertAlign w:val="baseline"/>
          <w:b/>
        </w:rPr>
        <w:t>III</w:t>
      </w:r>
      <w:r>
        <w:rPr>
          <w:vertAlign w:val="baseline"/>
        </w:rPr>
        <w:t>.</w:t>
      </w:r>
    </w:p>
    <w:p>
      <w:pPr>
        <w:pStyle w:val="a3"/>
      </w:pPr>
    </w:p>
    <w:p>
      <w:pPr>
        <w:pStyle w:val="a3"/>
      </w:pPr>
      <w:r>
        <w:t xml:space="preserve">Расчёт коэффициентов степени опасности компонентов </w:t>
      </w:r>
      <w:r>
        <w:rPr>
          <w:vertAlign w:val="baseline"/>
          <w:b/>
        </w:rPr>
        <w:t>W</w:t>
      </w:r>
      <w:r>
        <w:rPr>
          <w:vertAlign w:val="subscript"/>
          <w:b/>
        </w:rPr>
        <w:t>i</w:t>
      </w:r>
      <w:r>
        <w:rPr>
          <w:vertAlign w:val="baseline"/>
        </w:rPr>
        <w:t xml:space="preserve"> (мг/кг) для окружающей природной среды: </w:t>
      </w:r>
    </w:p>
    <w:p>
      <w:pPr>
        <w:pStyle w:val="a3"/>
      </w:pPr>
    </w:p>
    <w:p>
      <w:pPr>
        <w:pStyle w:val="a3"/>
      </w:pPr>
      <w:r>
        <w:rPr>
          <w:b/>
        </w:rPr>
        <w:t xml:space="preserve">1. Медь</w:t>
      </w:r>
    </w:p>
    <w:p>
      <w:pPr>
        <w:pStyle w:val="p_normal_eco"/>
        <w:jc w:val="center"/>
        <w:spacing w:before="240" w:after="120"/>
      </w:pPr>
      <w:r>
        <w:rPr>
          <w:b/>
        </w:rPr>
        <w:t xml:space="preserve">Характеристика первичных показателей для компонента отхода</w:t>
      </w:r>
    </w:p>
    <w:tbl>
      <w:tblPr xmlns:w="http://schemas.openxmlformats.org/wordprocessingml/2006/main">
        <w:tblStyle w:val="ReportTable2"/>
        <w:tblW w:w="9638" w:type="dxa"/>
        <w:tblLayout w:type="fixed"/>
        <w:tblLook w:val="04A0"/>
      </w:tblPr>
      <w:tblGrid xmlns:w="http://schemas.openxmlformats.org/wordprocessingml/2006/main">
        <w:gridCol w:w="675"/>
        <w:gridCol w:w="5810"/>
        <w:gridCol w:w="1276"/>
        <w:gridCol w:w="709"/>
        <w:gridCol w:w="1168"/>
      </w:tblGrid>
      <w:tr>
        <w:trPr>
          <w:cantSplit/>
          <w:tblHeader/>
        </w:trPr>
        <w:tc>
          <w:tcPr>
            <w:tcW w:w="67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№</w:t>
            </w:r>
          </w:p>
          <w:p>
            <w:pPr>
              <w:pStyle w:val="p_normal_eco"/>
              <w:jc w:val="center"/>
            </w:pPr>
            <w:r>
              <w:t xml:space="preserve">п/п</w:t>
            </w:r>
          </w:p>
        </w:tc>
        <w:tc>
          <w:tcPr>
            <w:tcW w:w="581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Наименование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Значение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Балл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  <w:bottom w:val="single" w:color="auto" w:sz="8" w:space="0"/>
            </w:tcBorders>
            <w:shd w:val="clear" w:color="auto" w:fill="F2F2F2"/>
          </w:tcPr>
          <w:p>
            <w:pPr>
              <w:pStyle w:val="p_normal_eco"/>
              <w:jc w:val="center"/>
            </w:pPr>
            <w:r>
              <w:t xml:space="preserve">Литера</w:t>
            </w:r>
            <w:r>
              <w:softHyphen/>
              <w:t xml:space="preserve">тура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1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ПДКп2 (ОДК3), мг/кг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1-10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1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Класс опасности в почве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1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3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ПДКв (ОДУ, ОБУВ), мг/л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0.11-1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3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4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Класс опасности в воде водных объектов, используемых для целей питьевого и хозяйственно-бытового водоснабжения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3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3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5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ПДКр.х. (ОБУВ), мг/л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0.001-0.01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3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6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ПДКпп (МДУ, МДС), мг/кг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0.01-1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4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7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Lg (S, мг/л/ПДКв, мг.л)4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&lt;1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4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5</w:t>
            </w:r>
          </w:p>
        </w:tc>
      </w:tr>
      <w:tr>
        <w:tc>
          <w:tcPr>
            <w:tcW w:w="675" w:type="dxa"/>
            <w:tcBorders>
              <w:top w:val="single" w:color="auto" w:sz="8" w:space="0"/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8</w:t>
            </w:r>
          </w:p>
        </w:tc>
        <w:tc>
          <w:tcPr>
            <w:tcW w:w="5810" w:type="dxa"/>
            <w:tcBorders>
              <w:top w:val="single" w:color="auto" w:sz="8" w:space="0"/>
            </w:tcBorders>
          </w:tcPr>
          <w:p>
            <w:pPr>
              <w:pStyle w:val="p_normal_eco"/>
            </w:pPr>
            <w:r>
              <w:t xml:space="preserve">Lg (Снас, мг/м3/ПДКр.з)  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p_normal_eco"/>
              <w:jc w:val="center"/>
            </w:pPr>
            <w:r>
              <w:t xml:space="preserve">&lt;1</w:t>
            </w:r>
          </w:p>
        </w:tc>
        <w:tc>
          <w:tcPr>
            <w:tcW w:w="709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4</w:t>
            </w:r>
          </w:p>
        </w:tc>
        <w:tc>
          <w:tcPr>
            <w:tcW w:w="1168" w:type="dxa"/>
            <w:tcBorders>
              <w:top w:val="single" w:color="auto" w:sz="8" w:space="0"/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5</w:t>
            </w:r>
          </w:p>
        </w:tc>
      </w:tr>
      <w:tr>
        <w:tc>
          <w:tcPr>
            <w:tcW w:w="675" w:type="dxa"/>
            <w:tcBorders>
              <w:lef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9</w:t>
            </w:r>
          </w:p>
        </w:tc>
        <w:tc>
          <w:tcPr>
            <w:tcW w:w="5810" w:type="dxa"/>
          </w:tcPr>
          <w:p>
            <w:pPr>
              <w:pStyle w:val="p_normal_eco"/>
            </w:pPr>
            <w:r>
              <w:t xml:space="preserve">Показатель информационного обеспечения (n/N) </w:t>
            </w:r>
          </w:p>
        </w:tc>
        <w:tc>
          <w:tcPr>
            <w:tcW w:w="1276" w:type="dxa"/>
          </w:tcPr>
          <w:p>
            <w:pPr>
              <w:pStyle w:val="p_normal_eco"/>
              <w:jc w:val="center"/>
            </w:pPr>
            <w:r>
              <w:t xml:space="preserve">0,5 - 0,7</w:t>
            </w:r>
          </w:p>
        </w:tc>
        <w:tc>
          <w:tcPr>
            <w:tcW w:w="709" w:type="dxa"/>
            <w:tcBorders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2</w:t>
            </w:r>
          </w:p>
        </w:tc>
        <w:tc>
          <w:tcPr>
            <w:tcW w:w="1168" w:type="dxa"/>
            <w:tcBorders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t xml:space="preserve">-</w:t>
            </w:r>
          </w:p>
        </w:tc>
      </w:tr>
      <w:tr>
        <w:tc>
          <w:tcPr>
            <w:tcW w:w="675" w:type="dxa"/>
            <w:tcBorders>
              <w:left w:val="single" w:color="auto" w:sz="6" w:space="0"/>
            </w:tcBorders>
          </w:tcPr>
          <w:p>
            <w:pPr>
              <w:pStyle w:val="p_normal_eco"/>
              <w:jc w:val="center"/>
            </w:pPr>
          </w:p>
        </w:tc>
        <w:tc>
          <w:tcPr>
            <w:tcW w:w="5810" w:type="dxa"/>
          </w:tcPr>
          <w:p>
            <w:pPr>
              <w:pStyle w:val="p_normal_eco"/>
            </w:pPr>
            <w:r>
              <w:rPr>
                <w:b/>
              </w:rPr>
              <w:t xml:space="preserve">Сумма баллов:</w:t>
            </w:r>
          </w:p>
        </w:tc>
        <w:tc>
          <w:tcPr>
            <w:tcW w:w="1276" w:type="dxa"/>
          </w:tcPr>
          <w:p>
            <w:pPr>
              <w:pStyle w:val="p_normal_eco"/>
              <w:jc w:val="center"/>
            </w:pPr>
          </w:p>
        </w:tc>
        <w:tc>
          <w:tcPr>
            <w:tcW w:w="709" w:type="dxa"/>
            <w:tcBorders>
              <w:right w:val="single" w:color="auto" w:sz="6" w:space="0"/>
            </w:tcBorders>
          </w:tcPr>
          <w:p>
            <w:pPr>
              <w:pStyle w:val="p_normal_eco"/>
              <w:jc w:val="center"/>
            </w:pPr>
            <w:r>
              <w:rPr>
                <w:b/>
              </w:rPr>
              <w:t xml:space="preserve">24</w:t>
            </w:r>
          </w:p>
        </w:tc>
        <w:tc>
          <w:tcPr>
            <w:tcW w:w="1168" w:type="dxa"/>
            <w:tcBorders>
              <w:right w:val="single" w:color="auto" w:sz="6" w:space="0"/>
            </w:tcBorders>
          </w:tcPr>
          <w:p>
            <w:pPr>
              <w:pStyle w:val="p_normal_eco"/>
              <w:jc w:val="center"/>
            </w:pPr>
          </w:p>
        </w:tc>
      </w:tr>
    </w:tbl>
    <w:p>
      <w:pPr>
        <w:pStyle w:val="a3"/>
      </w:pPr>
      <w:r>
        <w:t xml:space="preserve">Примечание – использованная литература:</w:t>
      </w:r>
    </w:p>
    <w:p>
      <w:pPr>
        <w:pStyle w:val="a3"/>
        <w:rPr>
          <w:sz w:val="16"/>
        </w:rPr>
      </w:pPr>
      <w:r>
        <w:rPr>
          <w:sz w:val="16"/>
        </w:rPr>
        <w:t xml:space="preserve">1. Контроль химических и биологических параметров ОС. П./ред. Л.К. Исаева, СПб, 1998 год;  ГОСТ 17.4.1.02-83 Международный стандарт.  Охрана природы. Почвы. Классификация химических веществ для контроля загрязнения; ГН 2.1.7.2511-09 Ориентировочно допустимые концентрации (ОДК) химических веществ в почве; СанПиН 42-128-4433-87 Санитарные нормы допустимых концентраций (ПДК) химических веществ в почве; ГН 2.1.7.2041-06 Предельно-допустимые концентрации (ПДК) химических веществ в почве</w:t>
      </w:r>
    </w:p>
    <w:p>
      <w:pPr>
        <w:pStyle w:val="a3"/>
        <w:rPr>
          <w:sz w:val="16"/>
        </w:rPr>
      </w:pPr>
      <w:r>
        <w:rPr>
          <w:sz w:val="16"/>
        </w:rPr>
        <w:t xml:space="preserve">2. ГН 2.1.5.1315-03 Предельно-допустимые концентрации (ПДК) химический веществ в воде водных объектов хозяйственно-питьевого и культурно-бытового водопользования; МИНЗДРАВ РФ 2003г. (с учетом  ГН 2.1.5.2280-07, постановлений Главного государственного санитарного врача Российской Федерации от 28 сентября 2007 года N 77; от 16 сентября 2013 года N 49); 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 (с учетом Дополнения N 1 - ГН 2.1.5.2312-08,  Дополнения N 2 - ГН 2.1.5.2415-08, Дополнения N 3 - ГН 2.1.5.2702-10, Изменения N 4 (постановление Главного государственного санитарного врача РФ от 16 сентября 2013 года N 45)</w:t>
      </w:r>
    </w:p>
    <w:p>
      <w:pPr>
        <w:pStyle w:val="a3"/>
        <w:rPr>
          <w:sz w:val="16"/>
        </w:rPr>
      </w:pPr>
      <w:r>
        <w:rPr>
          <w:sz w:val="16"/>
        </w:rPr>
        <w:t xml:space="preserve">3. ПРИКАЗ N 20 от 18 января 2010 года 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</w:r>
    </w:p>
    <w:p>
      <w:pPr>
        <w:pStyle w:val="a3"/>
        <w:rPr>
          <w:sz w:val="16"/>
        </w:rPr>
      </w:pPr>
      <w:r>
        <w:rPr>
          <w:sz w:val="16"/>
        </w:rPr>
        <w:t xml:space="preserve">4. Экология и безопасность. Справочник. п/ред. Н.Г. Рыбальского, Москва, ВНИИПИ, 1993 год</w:t>
      </w:r>
    </w:p>
    <w:p>
      <w:pPr>
        <w:pStyle w:val="a3"/>
        <w:rPr>
          <w:sz w:val="16"/>
        </w:rPr>
      </w:pPr>
      <w:r>
        <w:rPr>
          <w:sz w:val="16"/>
        </w:rPr>
        <w:t xml:space="preserve">5. Новый справочник химика и технолога. Основные свойства неорганических, органических и элементорганических соединений. СПб, АНО НПО "Мир и семья",  2002 г.; Справочник химика. Под ред. Б. П. Никольского, Л: Химия, 1971 г.</w:t>
      </w:r>
    </w:p>
    <w:p>
      <w:pPr>
        <w:pStyle w:val="a3"/>
      </w:pPr>
    </w:p>
    <w:p>
      <w:pPr>
        <w:pStyle w:val="a3"/>
      </w:pPr>
      <w:r>
        <w:t xml:space="preserve">Относительный параметр опасности компонента принимается </w:t>
      </w:r>
      <w:r>
        <w:rPr>
          <w:vertAlign w:val="baseline"/>
          <w:b/>
        </w:rPr>
        <w:t>X</w:t>
      </w:r>
      <w:r>
        <w:rPr>
          <w:vertAlign w:val="subscript"/>
          <w:b/>
        </w:rPr>
        <w:t>i</w:t>
      </w:r>
      <w:r>
        <w:rPr>
          <w:vertAlign w:val="baseline"/>
        </w:rPr>
        <w:t xml:space="preserve"> = 24 / 9 = </w:t>
      </w:r>
      <w:r>
        <w:rPr>
          <w:vertAlign w:val="baseline"/>
          <w:b/>
        </w:rPr>
        <w:t>2,667</w:t>
      </w:r>
      <w:r>
        <w:rPr>
          <w:vertAlign w:val="baseline"/>
        </w:rPr>
        <w:t>.</w:t>
      </w:r>
    </w:p>
    <w:p>
      <w:pPr>
        <w:pStyle w:val="a3"/>
      </w:pPr>
      <w:r>
        <w:rPr>
          <w:vertAlign w:val="baseline"/>
          <w:b/>
        </w:rPr>
        <w:t>Z</w:t>
      </w:r>
      <w:r>
        <w:rPr>
          <w:vertAlign w:val="subscript"/>
          <w:b/>
        </w:rPr>
        <w:t>i</w:t>
      </w:r>
      <w:r>
        <w:rPr>
          <w:vertAlign w:val="baseline"/>
        </w:rPr>
        <w:t xml:space="preserve"> = 4 ∙ </w:t>
      </w:r>
      <w:r>
        <w:rPr>
          <w:vertAlign w:val="baseline"/>
          <w:b/>
        </w:rPr>
        <w:t>X</w:t>
      </w:r>
      <w:r>
        <w:rPr>
          <w:vertAlign w:val="subscript"/>
          <w:b/>
        </w:rPr>
        <w:t>i</w:t>
      </w:r>
      <w:r>
        <w:rPr>
          <w:vertAlign w:val="baseline"/>
        </w:rPr>
        <w:t xml:space="preserve"> / 3 - 1 / 3 = </w:t>
      </w:r>
      <w:r>
        <w:rPr>
          <w:vertAlign w:val="baseline"/>
          <w:b/>
        </w:rPr>
        <w:t>3,222</w:t>
      </w:r>
      <w:r>
        <w:rPr>
          <w:vertAlign w:val="baseline"/>
        </w:rPr>
        <w:t>.</w:t>
      </w:r>
    </w:p>
    <w:p>
      <w:pPr>
        <w:pStyle w:val="a3"/>
      </w:pPr>
      <w:r>
        <w:rPr>
          <w:vertAlign w:val="baseline"/>
        </w:rPr>
        <w:t>lg(</w:t>
      </w:r>
      <w:r>
        <w:rPr>
          <w:vertAlign w:val="baseline"/>
          <w:b/>
        </w:rPr>
        <w:t>W</w:t>
      </w:r>
      <w:r>
        <w:rPr>
          <w:vertAlign w:val="subscript"/>
          <w:b/>
        </w:rPr>
        <w:t>i</w:t>
      </w:r>
      <w:r>
        <w:rPr>
          <w:vertAlign w:val="baseline"/>
        </w:rPr>
        <w:t xml:space="preserve">) = </w:t>
      </w:r>
      <w:r>
        <w:rPr>
          <w:vertAlign w:val="baseline"/>
          <w:b/>
        </w:rPr>
        <w:t>Z</w:t>
      </w:r>
      <w:r>
        <w:rPr>
          <w:vertAlign w:val="subscript"/>
          <w:b/>
        </w:rPr>
        <w:t>i</w:t>
      </w:r>
      <w:r>
        <w:rPr>
          <w:vertAlign w:val="baseline"/>
        </w:rPr>
        <w:t xml:space="preserve"> = </w:t>
      </w:r>
      <w:r>
        <w:rPr>
          <w:vertAlign w:val="baseline"/>
          <w:b/>
        </w:rPr>
        <w:t>3,222</w:t>
      </w:r>
      <w:r>
        <w:rPr>
          <w:vertAlign w:val="baseline"/>
        </w:rPr>
        <w:t>.</w:t>
      </w:r>
    </w:p>
    <w:p>
      <w:pPr>
        <w:pStyle w:val="a3"/>
      </w:pPr>
      <w:r>
        <w:rPr>
          <w:vertAlign w:val="baseline"/>
          <w:b/>
        </w:rPr>
        <w:t>W</w:t>
      </w:r>
      <w:r>
        <w:rPr>
          <w:vertAlign w:val="subscript"/>
          <w:b/>
        </w:rPr>
        <w:t>i</w:t>
      </w:r>
      <w:r>
        <w:rPr>
          <w:vertAlign w:val="baseline"/>
        </w:rPr>
        <w:t xml:space="preserve"> = 10</w:t>
      </w:r>
      <w:r>
        <w:rPr>
          <w:vertAlign w:val="superscript"/>
        </w:rPr>
        <w:t>lg(</w:t>
      </w:r>
      <w:r>
        <w:rPr>
          <w:vertAlign w:val="superscript"/>
          <w:b/>
        </w:rPr>
        <w:t>Wi</w:t>
      </w:r>
      <w:r>
        <w:rPr>
          <w:vertAlign w:val="superscript"/>
        </w:rPr>
        <w:t>)</w:t>
      </w:r>
      <w:r>
        <w:rPr>
          <w:vertAlign w:val="baseline"/>
        </w:rPr>
        <w:t xml:space="preserve"> = </w:t>
      </w:r>
      <w:r>
        <w:rPr>
          <w:vertAlign w:val="baseline"/>
          <w:b/>
        </w:rPr>
        <w:t>1668,101</w:t>
      </w:r>
      <w:r>
        <w:rPr>
          <w:vertAlign w:val="baseline"/>
        </w:rPr>
        <w:t>.</w:t>
      </w:r>
    </w:p>
    <w:sectPr xmlns:w="http://schemas.openxmlformats.org/wordprocessingml/2006/main" w:rsidRPr="000D1078" w:rsidR="000D1078" w:rsidSect="00497A93">
      <w:pgSz w:w="11907" w:h="16840"/>
      <w:pgMar w:top="1134" w:right="567" w:bottom="567" w:left="1701" w:header="680" w:footer="720" w:gutter="0"/>
      <w:cols w:space="720"/>
      <w:titlePg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76DFD"/>
    <w:pPr>
      <w:spacing w:line="276" w:lineRule="auto"/>
      <w:jc w:val="both"/>
    </w:pPr>
  </w:style>
  <w:style w:type="paragraph" w:styleId="1">
    <w:name w:val="heading 1"/>
    <w:basedOn w:val="a"/>
    <w:qFormat/>
    <w:rsid w:val="00976DF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976DFD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976DF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ЭКОцентр Обычный"/>
    <w:qFormat/>
    <w:rsid w:val="00976DFD"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rsid w:val="00976DFD"/>
    <w:pPr>
      <w:spacing w:line="240" w:lineRule="auto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rsid w:val="00976DFD"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sid w:val="00976DFD"/>
    <w:rPr>
      <w:sz w:val="16"/>
      <w:szCs w:val="1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sid w:val="00976DF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9-" w:customStyle="1">
    <w:name w:val="ЭКОцентр текст таблицы (9пт) - Расчет платы"/>
    <w:basedOn w:val="8"/>
    <w:rsid w:val="00976DFD"/>
    <w:pPr>
      <w:jc w:val="left"/>
    </w:pPr>
    <w:rPr>
      <w:sz w:val="18"/>
    </w:rPr>
  </w:style>
  <w:style w:type="table" w:styleId="9-0" w:customStyle="1">
    <w:name w:val="ЭКОцентр Таблица (9пт) - Расчет платы"/>
    <w:rsid w:val="00976DFD"/>
    <w:rPr>
      <w:sz w:val="18"/>
    </w:rPr>
    <w:tblPr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8-2" w:customStyle="1">
    <w:name w:val="ЭКОцентр текст таблицы (8пт) - 2ТП"/>
    <w:basedOn w:val="8"/>
    <w:rsid w:val="00976DFD"/>
    <w:pPr>
      <w:jc w:val="left"/>
    </w:pPr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497A93"/>
    <w:pPr>
      <w:tabs>
        <w:tab w:val="center" w:pos="4677"/>
        <w:tab w:val="right" w:pos="9355"/>
      </w:tabs>
      <w:spacing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497A93"/>
  </w:style>
  <w:style w:type="paragraph" w:styleId="a6">
    <w:name w:val="footer"/>
    <w:basedOn w:val="a"/>
    <w:link w:val="a7"/>
    <w:uiPriority w:val="99"/>
    <w:unhideWhenUsed/>
    <w:rsid w:val="00497A93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497A93"/>
  </w:style>
  <w:style w:type="table" w:styleId="ReportTable2" w:customStyle="1">
    <w:name w:val="Report Table 2"/>
    <w:uiPriority w:val="98"/>
    <w:semiHidden/>
    <w:unhideWhenUsed/>
    <w:qFormat/>
    <w:rsid w:val="00497A93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List Paragraph"/>
    <w:basedOn w:val="a"/>
    <w:uiPriority w:val="34"/>
    <w:qFormat/>
    <w:rsid w:val="000D1078"/>
    <w:pPr>
      <w:ind w:left="720"/>
      <w:contextualSpacing/>
    </w:pPr>
  </w:style>
  <w:style w:type="paragraph" w:styleId="p-report-dc">
    <w:name w:val="ЭКОцентр текст таблицы (8пт) - Сброс"/>
    <w:pPr>
      <w:jc w:val="left"/>
    </w:pPr>
    <w:rPr>
      <w:rFonts w:ascii="Times New Roman" w:hAnsi="Times New Roman" w:cs="Times New Roma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4b7ee037241eb" /></Relationships>
</file>